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88" w:rsidRPr="003D7939" w:rsidRDefault="00A16E88" w:rsidP="00382356">
      <w:pPr>
        <w:jc w:val="both"/>
        <w:rPr>
          <w:rFonts w:ascii="Times New Roman" w:hAnsi="Times New Roman" w:cs="Times New Roman"/>
          <w:spacing w:val="-9"/>
        </w:rPr>
      </w:pPr>
      <w:r w:rsidRPr="003D7939">
        <w:rPr>
          <w:rFonts w:ascii="Times New Roman" w:hAnsi="Times New Roman" w:cs="Times New Roman"/>
          <w:b/>
          <w:smallCaps/>
          <w:color w:val="000000" w:themeColor="text1"/>
        </w:rPr>
        <w:t>Termékfelelősség</w:t>
      </w:r>
    </w:p>
    <w:p w:rsidR="00A16E88" w:rsidRPr="003D7939" w:rsidRDefault="00A16E88" w:rsidP="00382356">
      <w:pPr>
        <w:jc w:val="both"/>
        <w:rPr>
          <w:rFonts w:ascii="Times New Roman" w:hAnsi="Times New Roman" w:cs="Times New Roman"/>
          <w:spacing w:val="-9"/>
        </w:rPr>
      </w:pPr>
    </w:p>
    <w:p w:rsidR="00833409" w:rsidRPr="003D7939" w:rsidRDefault="00A16E88" w:rsidP="00382356">
      <w:pPr>
        <w:jc w:val="both"/>
        <w:rPr>
          <w:rFonts w:ascii="Times New Roman" w:hAnsi="Times New Roman" w:cs="Times New Roman"/>
        </w:rPr>
      </w:pPr>
      <w:r w:rsidRPr="003D7939">
        <w:rPr>
          <w:rFonts w:ascii="Times New Roman" w:hAnsi="Times New Roman" w:cs="Times New Roman"/>
          <w:spacing w:val="-9"/>
        </w:rPr>
        <w:t xml:space="preserve">Irodalom:  </w:t>
      </w:r>
      <w:r w:rsidR="00833409" w:rsidRPr="003D7939">
        <w:rPr>
          <w:rFonts w:ascii="Times New Roman" w:hAnsi="Times New Roman" w:cs="Times New Roman"/>
        </w:rPr>
        <w:t xml:space="preserve">Michael S </w:t>
      </w:r>
      <w:r w:rsidR="00833409" w:rsidRPr="003D7939">
        <w:rPr>
          <w:rFonts w:ascii="Times New Roman" w:hAnsi="Times New Roman" w:cs="Times New Roman"/>
          <w:smallCaps/>
        </w:rPr>
        <w:t>Hamilton</w:t>
      </w:r>
      <w:r w:rsidR="00833409" w:rsidRPr="003D7939">
        <w:rPr>
          <w:rFonts w:ascii="Times New Roman" w:hAnsi="Times New Roman" w:cs="Times New Roman"/>
        </w:rPr>
        <w:t xml:space="preserve">, George W </w:t>
      </w:r>
      <w:proofErr w:type="spellStart"/>
      <w:r w:rsidR="00833409" w:rsidRPr="003D7939">
        <w:rPr>
          <w:rFonts w:ascii="Times New Roman" w:hAnsi="Times New Roman" w:cs="Times New Roman"/>
          <w:smallCaps/>
        </w:rPr>
        <w:t>Spiro</w:t>
      </w:r>
      <w:proofErr w:type="spellEnd"/>
      <w:r w:rsidR="00833409" w:rsidRPr="003D7939">
        <w:rPr>
          <w:rFonts w:ascii="Times New Roman" w:hAnsi="Times New Roman" w:cs="Times New Roman"/>
        </w:rPr>
        <w:t xml:space="preserve">: The Dynamics of Law, </w:t>
      </w:r>
      <w:proofErr w:type="spellStart"/>
      <w:r w:rsidR="00833409" w:rsidRPr="003D7939">
        <w:rPr>
          <w:rFonts w:ascii="Times New Roman" w:hAnsi="Times New Roman" w:cs="Times New Roman"/>
        </w:rPr>
        <w:t>Routledge</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Abingdon</w:t>
      </w:r>
      <w:proofErr w:type="spellEnd"/>
      <w:r w:rsidR="00833409" w:rsidRPr="003D7939">
        <w:rPr>
          <w:rFonts w:ascii="Times New Roman" w:hAnsi="Times New Roman" w:cs="Times New Roman"/>
        </w:rPr>
        <w:t xml:space="preserve">, 2014., Raymond </w:t>
      </w:r>
      <w:proofErr w:type="spellStart"/>
      <w:r w:rsidR="00833409" w:rsidRPr="003D7939">
        <w:rPr>
          <w:rFonts w:ascii="Times New Roman" w:hAnsi="Times New Roman" w:cs="Times New Roman"/>
          <w:smallCaps/>
          <w:kern w:val="20"/>
        </w:rPr>
        <w:t>Youngs</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Sourcebook</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on</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German</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law</w:t>
      </w:r>
      <w:proofErr w:type="spellEnd"/>
      <w:r w:rsidR="00833409" w:rsidRPr="003D7939">
        <w:rPr>
          <w:rFonts w:ascii="Times New Roman" w:hAnsi="Times New Roman" w:cs="Times New Roman"/>
        </w:rPr>
        <w:t xml:space="preserve">, London, </w:t>
      </w:r>
      <w:proofErr w:type="spellStart"/>
      <w:r w:rsidR="00833409" w:rsidRPr="003D7939">
        <w:rPr>
          <w:rFonts w:ascii="Times New Roman" w:hAnsi="Times New Roman" w:cs="Times New Roman"/>
        </w:rPr>
        <w:t>Routledge</w:t>
      </w:r>
      <w:proofErr w:type="spellEnd"/>
      <w:r w:rsidR="00833409" w:rsidRPr="003D7939">
        <w:rPr>
          <w:rFonts w:ascii="Times New Roman" w:hAnsi="Times New Roman" w:cs="Times New Roman"/>
        </w:rPr>
        <w:t xml:space="preserve"> Cavendish, 2002.,  </w:t>
      </w:r>
      <w:r w:rsidR="00833409" w:rsidRPr="003D7939">
        <w:rPr>
          <w:rStyle w:val="apple-style-span"/>
          <w:rFonts w:ascii="Times New Roman" w:hAnsi="Times New Roman" w:cs="Times New Roman"/>
          <w:color w:val="000000"/>
        </w:rPr>
        <w:t xml:space="preserve">Martin </w:t>
      </w:r>
      <w:proofErr w:type="spellStart"/>
      <w:r w:rsidR="00833409" w:rsidRPr="003D7939">
        <w:rPr>
          <w:rStyle w:val="apple-style-span"/>
          <w:rFonts w:ascii="Times New Roman" w:hAnsi="Times New Roman" w:cs="Times New Roman"/>
          <w:smallCaps/>
          <w:color w:val="000000"/>
          <w:kern w:val="20"/>
        </w:rPr>
        <w:t>Ebers</w:t>
      </w:r>
      <w:proofErr w:type="spellEnd"/>
      <w:r w:rsidR="00833409" w:rsidRPr="003D7939">
        <w:rPr>
          <w:rStyle w:val="apple-style-span"/>
          <w:rFonts w:ascii="Times New Roman" w:hAnsi="Times New Roman" w:cs="Times New Roman"/>
          <w:smallCaps/>
          <w:color w:val="000000"/>
          <w:kern w:val="20"/>
        </w:rPr>
        <w:t xml:space="preserve">, </w:t>
      </w:r>
      <w:r w:rsidR="00833409" w:rsidRPr="003D7939">
        <w:rPr>
          <w:rStyle w:val="apple-style-span"/>
          <w:rFonts w:ascii="Times New Roman" w:hAnsi="Times New Roman" w:cs="Times New Roman"/>
          <w:color w:val="000000"/>
        </w:rPr>
        <w:t xml:space="preserve">André </w:t>
      </w:r>
      <w:proofErr w:type="spellStart"/>
      <w:r w:rsidR="00833409" w:rsidRPr="003D7939">
        <w:rPr>
          <w:rStyle w:val="apple-style-span"/>
          <w:rFonts w:ascii="Times New Roman" w:hAnsi="Times New Roman" w:cs="Times New Roman"/>
          <w:smallCaps/>
          <w:color w:val="000000"/>
          <w:kern w:val="20"/>
        </w:rPr>
        <w:t>Janssen</w:t>
      </w:r>
      <w:proofErr w:type="spellEnd"/>
      <w:r w:rsidR="00833409" w:rsidRPr="003D7939">
        <w:rPr>
          <w:rStyle w:val="apple-style-span"/>
          <w:rFonts w:ascii="Times New Roman" w:hAnsi="Times New Roman" w:cs="Times New Roman"/>
          <w:color w:val="000000"/>
        </w:rPr>
        <w:t>, Olaf</w:t>
      </w:r>
      <w:r w:rsidR="00833409" w:rsidRPr="003D7939">
        <w:rPr>
          <w:rStyle w:val="apple-style-span"/>
          <w:rFonts w:ascii="Times New Roman" w:hAnsi="Times New Roman" w:cs="Times New Roman"/>
          <w:smallCaps/>
          <w:color w:val="000000"/>
          <w:kern w:val="20"/>
        </w:rPr>
        <w:t xml:space="preserve"> Meyer:</w:t>
      </w:r>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Comparative</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Report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in</w:t>
      </w:r>
      <w:proofErr w:type="spellEnd"/>
      <w:r w:rsidR="00833409" w:rsidRPr="003D7939">
        <w:rPr>
          <w:rFonts w:ascii="Times New Roman" w:hAnsi="Times New Roman" w:cs="Times New Roman"/>
        </w:rPr>
        <w:t xml:space="preserve"> E</w:t>
      </w:r>
      <w:r w:rsidR="00833409" w:rsidRPr="003D7939">
        <w:rPr>
          <w:rStyle w:val="Kiemels"/>
          <w:rFonts w:ascii="Times New Roman" w:hAnsi="Times New Roman" w:cs="Times New Roman"/>
          <w:bCs/>
          <w:i w:val="0"/>
          <w:iCs w:val="0"/>
          <w:color w:val="000000"/>
        </w:rPr>
        <w:t xml:space="preserve">uropean </w:t>
      </w:r>
      <w:proofErr w:type="spellStart"/>
      <w:r w:rsidR="00833409" w:rsidRPr="003D7939">
        <w:rPr>
          <w:rStyle w:val="Kiemels"/>
          <w:rFonts w:ascii="Times New Roman" w:hAnsi="Times New Roman" w:cs="Times New Roman"/>
          <w:bCs/>
          <w:i w:val="0"/>
          <w:iCs w:val="0"/>
          <w:color w:val="000000"/>
        </w:rPr>
        <w:t>Perspectives</w:t>
      </w:r>
      <w:proofErr w:type="spellEnd"/>
      <w:r w:rsidR="00833409" w:rsidRPr="003D7939">
        <w:rPr>
          <w:rStyle w:val="Kiemels"/>
          <w:rFonts w:ascii="Times New Roman" w:hAnsi="Times New Roman" w:cs="Times New Roman"/>
          <w:bCs/>
          <w:i w:val="0"/>
          <w:iCs w:val="0"/>
          <w:color w:val="000000"/>
        </w:rPr>
        <w:t xml:space="preserve"> </w:t>
      </w:r>
      <w:proofErr w:type="spellStart"/>
      <w:r w:rsidR="00833409" w:rsidRPr="003D7939">
        <w:rPr>
          <w:rStyle w:val="Kiemels"/>
          <w:rFonts w:ascii="Times New Roman" w:hAnsi="Times New Roman" w:cs="Times New Roman"/>
          <w:bCs/>
          <w:i w:val="0"/>
          <w:iCs w:val="0"/>
          <w:color w:val="000000"/>
        </w:rPr>
        <w:t>on</w:t>
      </w:r>
      <w:proofErr w:type="spellEnd"/>
      <w:r w:rsidR="00833409" w:rsidRPr="003D7939">
        <w:rPr>
          <w:rStyle w:val="Kiemels"/>
          <w:rFonts w:ascii="Times New Roman" w:hAnsi="Times New Roman" w:cs="Times New Roman"/>
          <w:bCs/>
          <w:i w:val="0"/>
          <w:iCs w:val="0"/>
          <w:color w:val="000000"/>
        </w:rPr>
        <w:t xml:space="preserve"> </w:t>
      </w:r>
      <w:proofErr w:type="spellStart"/>
      <w:r w:rsidR="00833409" w:rsidRPr="003D7939">
        <w:rPr>
          <w:rStyle w:val="Kiemels"/>
          <w:rFonts w:ascii="Times New Roman" w:hAnsi="Times New Roman" w:cs="Times New Roman"/>
          <w:bCs/>
          <w:i w:val="0"/>
          <w:iCs w:val="0"/>
          <w:color w:val="000000"/>
        </w:rPr>
        <w:t>Producers</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Liability</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Direct</w:t>
      </w:r>
      <w:proofErr w:type="spellEnd"/>
      <w:r w:rsidR="00833409" w:rsidRPr="003D7939">
        <w:rPr>
          <w:rStyle w:val="apple-converted-space"/>
          <w:rFonts w:ascii="Times New Roman" w:hAnsi="Times New Roman" w:cs="Times New Roman"/>
          <w:color w:val="000000"/>
        </w:rPr>
        <w:t> </w:t>
      </w:r>
      <w:proofErr w:type="spellStart"/>
      <w:r w:rsidR="00833409" w:rsidRPr="003D7939">
        <w:rPr>
          <w:rStyle w:val="Kiemels"/>
          <w:rFonts w:ascii="Times New Roman" w:hAnsi="Times New Roman" w:cs="Times New Roman"/>
          <w:bCs/>
          <w:i w:val="0"/>
          <w:iCs w:val="0"/>
          <w:color w:val="000000"/>
        </w:rPr>
        <w:t>Producers</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Liability</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for</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Non-conformity</w:t>
      </w:r>
      <w:proofErr w:type="spellEnd"/>
      <w:r w:rsidR="00833409" w:rsidRPr="003D7939">
        <w:rPr>
          <w:rStyle w:val="apple-style-span"/>
          <w:rFonts w:ascii="Times New Roman" w:hAnsi="Times New Roman" w:cs="Times New Roman"/>
          <w:color w:val="000000"/>
        </w:rPr>
        <w:t xml:space="preserve"> and </w:t>
      </w:r>
      <w:proofErr w:type="spellStart"/>
      <w:r w:rsidR="00833409" w:rsidRPr="003D7939">
        <w:rPr>
          <w:rStyle w:val="apple-style-span"/>
          <w:rFonts w:ascii="Times New Roman" w:hAnsi="Times New Roman" w:cs="Times New Roman"/>
          <w:color w:val="000000"/>
        </w:rPr>
        <w:t>the</w:t>
      </w:r>
      <w:proofErr w:type="spellEnd"/>
      <w:r w:rsidR="00833409" w:rsidRPr="003D7939">
        <w:rPr>
          <w:rStyle w:val="apple-style-span"/>
          <w:rFonts w:ascii="Times New Roman" w:hAnsi="Times New Roman" w:cs="Times New Roman"/>
          <w:color w:val="000000"/>
        </w:rPr>
        <w:t xml:space="preserve"> </w:t>
      </w:r>
      <w:proofErr w:type="spellStart"/>
      <w:r w:rsidR="00833409" w:rsidRPr="003D7939">
        <w:rPr>
          <w:rStyle w:val="apple-style-span"/>
          <w:rFonts w:ascii="Times New Roman" w:hAnsi="Times New Roman" w:cs="Times New Roman"/>
          <w:color w:val="000000"/>
        </w:rPr>
        <w:t>Sellers</w:t>
      </w:r>
      <w:proofErr w:type="spellEnd"/>
      <w:r w:rsidR="00833409" w:rsidRPr="003D7939">
        <w:rPr>
          <w:rStyle w:val="apple-style-span"/>
          <w:rFonts w:ascii="Times New Roman" w:hAnsi="Times New Roman" w:cs="Times New Roman"/>
          <w:color w:val="000000"/>
        </w:rPr>
        <w:t xml:space="preserve">' Right of </w:t>
      </w:r>
      <w:proofErr w:type="spellStart"/>
      <w:r w:rsidR="00833409" w:rsidRPr="003D7939">
        <w:rPr>
          <w:rStyle w:val="apple-style-span"/>
          <w:rFonts w:ascii="Times New Roman" w:hAnsi="Times New Roman" w:cs="Times New Roman"/>
          <w:color w:val="000000"/>
        </w:rPr>
        <w:t>Redress</w:t>
      </w:r>
      <w:proofErr w:type="spellEnd"/>
      <w:r w:rsidR="00833409" w:rsidRPr="003D7939">
        <w:rPr>
          <w:rStyle w:val="apple-style-span"/>
          <w:rFonts w:ascii="Times New Roman" w:hAnsi="Times New Roman" w:cs="Times New Roman"/>
          <w:color w:val="000000"/>
        </w:rPr>
        <w:t xml:space="preserve"> (szerk.: Martin </w:t>
      </w:r>
      <w:proofErr w:type="spellStart"/>
      <w:r w:rsidR="00833409" w:rsidRPr="003D7939">
        <w:rPr>
          <w:rStyle w:val="apple-style-span"/>
          <w:rFonts w:ascii="Times New Roman" w:hAnsi="Times New Roman" w:cs="Times New Roman"/>
          <w:color w:val="000000"/>
        </w:rPr>
        <w:t>Ebers</w:t>
      </w:r>
      <w:proofErr w:type="spellEnd"/>
      <w:r w:rsidR="00833409" w:rsidRPr="003D7939">
        <w:rPr>
          <w:rStyle w:val="apple-style-span"/>
          <w:rFonts w:ascii="Times New Roman" w:hAnsi="Times New Roman" w:cs="Times New Roman"/>
          <w:color w:val="000000"/>
        </w:rPr>
        <w:t xml:space="preserve">, André </w:t>
      </w:r>
      <w:proofErr w:type="spellStart"/>
      <w:r w:rsidR="00833409" w:rsidRPr="003D7939">
        <w:rPr>
          <w:rStyle w:val="apple-style-span"/>
          <w:rFonts w:ascii="Times New Roman" w:hAnsi="Times New Roman" w:cs="Times New Roman"/>
          <w:color w:val="000000"/>
        </w:rPr>
        <w:t>Janssen</w:t>
      </w:r>
      <w:proofErr w:type="spellEnd"/>
      <w:r w:rsidR="00833409" w:rsidRPr="003D7939">
        <w:rPr>
          <w:rStyle w:val="apple-style-span"/>
          <w:rFonts w:ascii="Times New Roman" w:hAnsi="Times New Roman" w:cs="Times New Roman"/>
          <w:color w:val="000000"/>
        </w:rPr>
        <w:t xml:space="preserve">, Olaf Meyer), München, </w:t>
      </w:r>
      <w:proofErr w:type="spellStart"/>
      <w:r w:rsidR="00833409" w:rsidRPr="003D7939">
        <w:rPr>
          <w:rStyle w:val="apple-style-span"/>
          <w:rFonts w:ascii="Times New Roman" w:hAnsi="Times New Roman" w:cs="Times New Roman"/>
          <w:color w:val="000000"/>
        </w:rPr>
        <w:t>Sellier</w:t>
      </w:r>
      <w:proofErr w:type="spellEnd"/>
      <w:r w:rsidR="00833409" w:rsidRPr="003D7939">
        <w:rPr>
          <w:rStyle w:val="apple-style-span"/>
          <w:rFonts w:ascii="Times New Roman" w:hAnsi="Times New Roman" w:cs="Times New Roman"/>
          <w:color w:val="000000"/>
        </w:rPr>
        <w:t xml:space="preserve"> European Law </w:t>
      </w:r>
      <w:proofErr w:type="spellStart"/>
      <w:r w:rsidR="00833409" w:rsidRPr="003D7939">
        <w:rPr>
          <w:rStyle w:val="apple-style-span"/>
          <w:rFonts w:ascii="Times New Roman" w:hAnsi="Times New Roman" w:cs="Times New Roman"/>
          <w:color w:val="000000"/>
        </w:rPr>
        <w:t>Publishers</w:t>
      </w:r>
      <w:proofErr w:type="spellEnd"/>
      <w:r w:rsidR="00833409" w:rsidRPr="003D7939">
        <w:rPr>
          <w:rStyle w:val="apple-style-span"/>
          <w:rFonts w:ascii="Times New Roman" w:hAnsi="Times New Roman" w:cs="Times New Roman"/>
          <w:color w:val="000000"/>
        </w:rPr>
        <w:t xml:space="preserve">, 2009., </w:t>
      </w:r>
      <w:r w:rsidR="00833409" w:rsidRPr="003D7939">
        <w:rPr>
          <w:rFonts w:ascii="Times New Roman" w:hAnsi="Times New Roman" w:cs="Times New Roman"/>
        </w:rPr>
        <w:t xml:space="preserve">Wolfgang </w:t>
      </w:r>
      <w:proofErr w:type="spellStart"/>
      <w:r w:rsidR="00833409" w:rsidRPr="003D7939">
        <w:rPr>
          <w:rFonts w:ascii="Times New Roman" w:hAnsi="Times New Roman" w:cs="Times New Roman"/>
          <w:smallCaps/>
        </w:rPr>
        <w:t>Kallwass</w:t>
      </w:r>
      <w:proofErr w:type="spellEnd"/>
      <w:r w:rsidR="00833409" w:rsidRPr="003D7939">
        <w:rPr>
          <w:rFonts w:ascii="Times New Roman" w:hAnsi="Times New Roman" w:cs="Times New Roman"/>
        </w:rPr>
        <w:t xml:space="preserve">, Peter </w:t>
      </w:r>
      <w:proofErr w:type="spellStart"/>
      <w:r w:rsidR="00833409" w:rsidRPr="003D7939">
        <w:rPr>
          <w:rFonts w:ascii="Times New Roman" w:hAnsi="Times New Roman" w:cs="Times New Roman"/>
          <w:smallCaps/>
        </w:rPr>
        <w:t>Abels</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Privatrecht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Bürgerliches</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Recht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Handelsrecht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Gesellschaftsrecht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Zivilprozessrecht</w:t>
      </w:r>
      <w:proofErr w:type="spellEnd"/>
      <w:r w:rsidR="00833409" w:rsidRPr="003D7939">
        <w:rPr>
          <w:rFonts w:ascii="Times New Roman" w:hAnsi="Times New Roman" w:cs="Times New Roman"/>
        </w:rPr>
        <w:t xml:space="preserve">, </w:t>
      </w:r>
      <w:proofErr w:type="spellStart"/>
      <w:r w:rsidR="00833409" w:rsidRPr="003D7939">
        <w:rPr>
          <w:rFonts w:ascii="Times New Roman" w:hAnsi="Times New Roman" w:cs="Times New Roman"/>
        </w:rPr>
        <w:t>Insolvenzrecht</w:t>
      </w:r>
      <w:proofErr w:type="spellEnd"/>
      <w:r w:rsidR="00833409" w:rsidRPr="003D7939">
        <w:rPr>
          <w:rFonts w:ascii="Times New Roman" w:hAnsi="Times New Roman" w:cs="Times New Roman"/>
        </w:rPr>
        <w:t xml:space="preserve">, München, Franz </w:t>
      </w:r>
      <w:proofErr w:type="spellStart"/>
      <w:r w:rsidR="00833409" w:rsidRPr="003D7939">
        <w:rPr>
          <w:rFonts w:ascii="Times New Roman" w:hAnsi="Times New Roman" w:cs="Times New Roman"/>
        </w:rPr>
        <w:t>Vahlen</w:t>
      </w:r>
      <w:proofErr w:type="spellEnd"/>
      <w:r w:rsidR="00833409" w:rsidRPr="003D7939">
        <w:rPr>
          <w:rFonts w:ascii="Times New Roman" w:hAnsi="Times New Roman" w:cs="Times New Roman"/>
        </w:rPr>
        <w:t xml:space="preserve"> GmbH, 2011., </w:t>
      </w:r>
      <w:proofErr w:type="spellStart"/>
      <w:r w:rsidR="00833409" w:rsidRPr="003D7939">
        <w:rPr>
          <w:rFonts w:ascii="Times New Roman" w:hAnsi="Times New Roman"/>
          <w:smallCaps/>
          <w:color w:val="000000"/>
        </w:rPr>
        <w:t>Fézer</w:t>
      </w:r>
      <w:proofErr w:type="spellEnd"/>
      <w:r w:rsidR="00833409" w:rsidRPr="003D7939">
        <w:rPr>
          <w:rFonts w:ascii="Times New Roman" w:hAnsi="Times New Roman"/>
          <w:color w:val="000000"/>
        </w:rPr>
        <w:t xml:space="preserve"> Tamás – </w:t>
      </w:r>
      <w:r w:rsidR="00833409" w:rsidRPr="003D7939">
        <w:rPr>
          <w:rFonts w:ascii="Times New Roman" w:hAnsi="Times New Roman"/>
          <w:smallCaps/>
          <w:color w:val="000000"/>
        </w:rPr>
        <w:t>Joó</w:t>
      </w:r>
      <w:r w:rsidR="00833409" w:rsidRPr="003D7939">
        <w:rPr>
          <w:rFonts w:ascii="Times New Roman" w:hAnsi="Times New Roman"/>
          <w:color w:val="000000"/>
        </w:rPr>
        <w:t xml:space="preserve"> Imre: Termékbiztonság, termékfelelősség, szolgáltatások nyújtásának különös követelményei, </w:t>
      </w:r>
      <w:proofErr w:type="spellStart"/>
      <w:r w:rsidR="00833409" w:rsidRPr="003D7939">
        <w:rPr>
          <w:rFonts w:ascii="Times New Roman" w:hAnsi="Times New Roman"/>
          <w:color w:val="000000"/>
        </w:rPr>
        <w:t>In</w:t>
      </w:r>
      <w:proofErr w:type="spellEnd"/>
      <w:r w:rsidR="00833409" w:rsidRPr="003D7939">
        <w:rPr>
          <w:rFonts w:ascii="Times New Roman" w:hAnsi="Times New Roman"/>
          <w:color w:val="000000"/>
        </w:rPr>
        <w:t xml:space="preserve">: Magyar fogyasztóvédelmi magánjog - európai kitekintéssel, Szikora Veronika (szerk.), Center Print Nyomda, Debrecen, 2010. </w:t>
      </w:r>
    </w:p>
    <w:p w:rsidR="00133427" w:rsidRPr="00512C1D" w:rsidRDefault="00133427" w:rsidP="00382356">
      <w:pPr>
        <w:jc w:val="both"/>
        <w:rPr>
          <w:rFonts w:ascii="Times New Roman" w:hAnsi="Times New Roman" w:cs="Times New Roman"/>
          <w:spacing w:val="-9"/>
        </w:rPr>
      </w:pPr>
    </w:p>
    <w:p w:rsidR="00512C1D" w:rsidRDefault="00A16E88" w:rsidP="00382356">
      <w:pPr>
        <w:jc w:val="both"/>
        <w:rPr>
          <w:rFonts w:ascii="Times New Roman" w:hAnsi="Times New Roman" w:cs="Times New Roman"/>
          <w:color w:val="000000" w:themeColor="text1"/>
        </w:rPr>
      </w:pPr>
      <w:r w:rsidRPr="00512C1D">
        <w:rPr>
          <w:rFonts w:ascii="Times New Roman" w:hAnsi="Times New Roman" w:cs="Times New Roman"/>
          <w:spacing w:val="-9"/>
        </w:rPr>
        <w:t xml:space="preserve">Jogesetek: </w:t>
      </w:r>
      <w:r w:rsidR="00FD01CD" w:rsidRPr="00512C1D">
        <w:rPr>
          <w:rFonts w:ascii="Times New Roman" w:hAnsi="Times New Roman" w:cs="Times New Roman"/>
          <w:color w:val="000000" w:themeColor="text1"/>
        </w:rPr>
        <w:t>Bács-Kiskun Megyei Bíróság 14</w:t>
      </w:r>
      <w:proofErr w:type="gramStart"/>
      <w:r w:rsidR="00FD01CD" w:rsidRPr="00512C1D">
        <w:rPr>
          <w:rFonts w:ascii="Times New Roman" w:hAnsi="Times New Roman" w:cs="Times New Roman"/>
          <w:color w:val="000000" w:themeColor="text1"/>
        </w:rPr>
        <w:t>.P.</w:t>
      </w:r>
      <w:proofErr w:type="gramEnd"/>
      <w:r w:rsidR="00FD01CD" w:rsidRPr="00512C1D">
        <w:rPr>
          <w:rFonts w:ascii="Times New Roman" w:hAnsi="Times New Roman" w:cs="Times New Roman"/>
          <w:color w:val="000000" w:themeColor="text1"/>
        </w:rPr>
        <w:t xml:space="preserve">21.783/2006/41., </w:t>
      </w:r>
      <w:r w:rsidR="00FD01CD" w:rsidRPr="00512C1D">
        <w:rPr>
          <w:rFonts w:ascii="Times New Roman" w:hAnsi="Times New Roman" w:cs="Times New Roman"/>
        </w:rPr>
        <w:t xml:space="preserve">Bács-Kiskun Megyei Bíróság </w:t>
      </w:r>
      <w:r w:rsidR="00FD01CD" w:rsidRPr="00512C1D">
        <w:rPr>
          <w:rFonts w:ascii="Times New Roman" w:hAnsi="Times New Roman" w:cs="Times New Roman"/>
          <w:bCs/>
          <w:kern w:val="1"/>
        </w:rPr>
        <w:t xml:space="preserve">14.P.21.945/2010/24., </w:t>
      </w:r>
      <w:r w:rsidR="00FD01CD" w:rsidRPr="00512C1D">
        <w:rPr>
          <w:rFonts w:ascii="Times New Roman" w:hAnsi="Times New Roman" w:cs="Times New Roman"/>
          <w:iCs/>
        </w:rPr>
        <w:t xml:space="preserve">Bács-Kiskun Megyei Bíróság </w:t>
      </w:r>
      <w:r w:rsidR="00FD01CD" w:rsidRPr="00512C1D">
        <w:rPr>
          <w:rFonts w:ascii="Times New Roman" w:hAnsi="Times New Roman" w:cs="Times New Roman"/>
          <w:bCs/>
          <w:iCs/>
        </w:rPr>
        <w:t>16.P.21.670/2004/83.,</w:t>
      </w:r>
      <w:r w:rsidR="00FD01CD" w:rsidRPr="00512C1D">
        <w:rPr>
          <w:rFonts w:ascii="Times New Roman" w:hAnsi="Times New Roman" w:cs="Times New Roman"/>
        </w:rPr>
        <w:t>Debreceni Ítélőtábla Pf.II.20.282/2014/6.,</w:t>
      </w:r>
      <w:r w:rsidR="00512C1D" w:rsidRPr="00512C1D">
        <w:rPr>
          <w:rFonts w:ascii="Times New Roman" w:hAnsi="Times New Roman" w:cs="Times New Roman"/>
        </w:rPr>
        <w:t xml:space="preserve"> Debreceni Ítélőtábla </w:t>
      </w:r>
      <w:proofErr w:type="spellStart"/>
      <w:r w:rsidR="00512C1D" w:rsidRPr="00512C1D">
        <w:rPr>
          <w:rFonts w:ascii="Times New Roman" w:hAnsi="Times New Roman" w:cs="Times New Roman"/>
        </w:rPr>
        <w:t>Gf</w:t>
      </w:r>
      <w:proofErr w:type="spellEnd"/>
      <w:r w:rsidR="00512C1D" w:rsidRPr="00512C1D">
        <w:rPr>
          <w:rFonts w:ascii="Times New Roman" w:hAnsi="Times New Roman" w:cs="Times New Roman"/>
        </w:rPr>
        <w:t>. III. 30.404/2009/9</w:t>
      </w:r>
      <w:proofErr w:type="gramStart"/>
      <w:r w:rsidR="00512C1D" w:rsidRPr="00512C1D">
        <w:rPr>
          <w:rFonts w:ascii="Times New Roman" w:hAnsi="Times New Roman" w:cs="Times New Roman"/>
        </w:rPr>
        <w:t>..</w:t>
      </w:r>
      <w:proofErr w:type="gramEnd"/>
      <w:r w:rsidR="00512C1D" w:rsidRPr="00512C1D">
        <w:rPr>
          <w:rFonts w:ascii="Times New Roman" w:hAnsi="Times New Roman" w:cs="Times New Roman"/>
        </w:rPr>
        <w:t xml:space="preserve"> </w:t>
      </w:r>
      <w:r w:rsidR="00FD01CD" w:rsidRPr="00512C1D">
        <w:rPr>
          <w:rFonts w:ascii="Times New Roman" w:hAnsi="Times New Roman" w:cs="Times New Roman"/>
          <w:color w:val="000000" w:themeColor="text1"/>
        </w:rPr>
        <w:t xml:space="preserve">Fővárosi Bíróság </w:t>
      </w:r>
      <w:r w:rsidR="00FD01CD" w:rsidRPr="00512C1D">
        <w:rPr>
          <w:rFonts w:ascii="Times New Roman" w:hAnsi="Times New Roman" w:cs="Times New Roman"/>
          <w:color w:val="000000"/>
        </w:rPr>
        <w:t>57. Pf. 637 860/2007/5</w:t>
      </w:r>
      <w:proofErr w:type="gramStart"/>
      <w:r w:rsidR="00FD01CD" w:rsidRPr="00512C1D">
        <w:rPr>
          <w:rFonts w:ascii="Times New Roman" w:hAnsi="Times New Roman" w:cs="Times New Roman"/>
          <w:color w:val="000000"/>
        </w:rPr>
        <w:t>.,</w:t>
      </w:r>
      <w:proofErr w:type="gramEnd"/>
      <w:r w:rsidR="00FD01CD" w:rsidRPr="00512C1D">
        <w:rPr>
          <w:rFonts w:ascii="Times New Roman" w:hAnsi="Times New Roman" w:cs="Times New Roman"/>
          <w:iCs/>
        </w:rPr>
        <w:t>Fővárosi Bíróság 9.G. 40.915/2010/45.,</w:t>
      </w:r>
      <w:r w:rsidR="00FD01CD" w:rsidRPr="00512C1D">
        <w:rPr>
          <w:rFonts w:ascii="Times New Roman" w:hAnsi="Times New Roman" w:cs="Times New Roman"/>
        </w:rPr>
        <w:t xml:space="preserve">Fővárosi Bíróság P.26.643/2005/47., </w:t>
      </w:r>
      <w:r w:rsidR="00FD01CD" w:rsidRPr="00512C1D">
        <w:rPr>
          <w:rFonts w:ascii="Times New Roman" w:hAnsi="Times New Roman" w:cs="Times New Roman"/>
          <w:kern w:val="1"/>
        </w:rPr>
        <w:t>Fővárosi Ítélőtábla 3</w:t>
      </w:r>
      <w:proofErr w:type="gramStart"/>
      <w:r w:rsidR="00FD01CD" w:rsidRPr="00512C1D">
        <w:rPr>
          <w:rFonts w:ascii="Times New Roman" w:hAnsi="Times New Roman" w:cs="Times New Roman"/>
          <w:kern w:val="1"/>
        </w:rPr>
        <w:t>.Pf.</w:t>
      </w:r>
      <w:proofErr w:type="gramEnd"/>
      <w:r w:rsidR="00FD01CD" w:rsidRPr="00512C1D">
        <w:rPr>
          <w:rFonts w:ascii="Times New Roman" w:hAnsi="Times New Roman" w:cs="Times New Roman"/>
          <w:kern w:val="1"/>
        </w:rPr>
        <w:t xml:space="preserve">21.251/2013/2., </w:t>
      </w:r>
      <w:r w:rsidR="00FD01CD" w:rsidRPr="00512C1D">
        <w:rPr>
          <w:rFonts w:ascii="Times New Roman" w:hAnsi="Times New Roman" w:cs="Times New Roman"/>
          <w:color w:val="000000" w:themeColor="text1"/>
        </w:rPr>
        <w:t xml:space="preserve">Fővárosi Törvényszék 24.G.42.277/2010/30., </w:t>
      </w:r>
      <w:r w:rsidR="00FD01CD" w:rsidRPr="00512C1D">
        <w:rPr>
          <w:rFonts w:ascii="Times New Roman" w:hAnsi="Times New Roman" w:cs="Times New Roman"/>
        </w:rPr>
        <w:t>Pest Megyei Bíróság 13.P.20.971/2006/8., Pesti Központi Kerületi Bíróság 30.P. 89692/2004/92.,Pesti Központi Kerületi Bíróság 36</w:t>
      </w:r>
      <w:proofErr w:type="gramStart"/>
      <w:r w:rsidR="00FD01CD" w:rsidRPr="00512C1D">
        <w:rPr>
          <w:rFonts w:ascii="Times New Roman" w:hAnsi="Times New Roman" w:cs="Times New Roman"/>
        </w:rPr>
        <w:t>.P.</w:t>
      </w:r>
      <w:proofErr w:type="gramEnd"/>
      <w:r w:rsidR="00FD01CD" w:rsidRPr="00512C1D">
        <w:rPr>
          <w:rFonts w:ascii="Times New Roman" w:hAnsi="Times New Roman" w:cs="Times New Roman"/>
        </w:rPr>
        <w:t xml:space="preserve"> 88.221/2006/23., Szegedi Ítélőtábla </w:t>
      </w:r>
      <w:r w:rsidR="00FD01CD" w:rsidRPr="00512C1D">
        <w:rPr>
          <w:rFonts w:ascii="Times New Roman" w:hAnsi="Times New Roman" w:cs="Times New Roman"/>
          <w:bCs/>
        </w:rPr>
        <w:t xml:space="preserve">Pf.I.20.724/2011/6., </w:t>
      </w:r>
      <w:r w:rsidR="00FD01CD" w:rsidRPr="00512C1D">
        <w:rPr>
          <w:rFonts w:ascii="Times New Roman" w:hAnsi="Times New Roman" w:cs="Times New Roman"/>
        </w:rPr>
        <w:t>C</w:t>
      </w:r>
      <w:r w:rsidR="00FD01CD" w:rsidRPr="00512C1D">
        <w:rPr>
          <w:rFonts w:ascii="Times New Roman" w:hAnsi="Times New Roman" w:cs="Times New Roman"/>
        </w:rPr>
        <w:noBreakHyphen/>
        <w:t xml:space="preserve">127/04.  számú </w:t>
      </w:r>
      <w:proofErr w:type="spellStart"/>
      <w:r w:rsidR="00FD01CD" w:rsidRPr="00512C1D">
        <w:rPr>
          <w:rFonts w:ascii="Times New Roman" w:hAnsi="Times New Roman" w:cs="Times New Roman"/>
          <w:bCs/>
        </w:rPr>
        <w:t>Declan</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O’Byrne</w:t>
      </w:r>
      <w:proofErr w:type="spellEnd"/>
      <w:r w:rsidR="00FD01CD" w:rsidRPr="00512C1D">
        <w:rPr>
          <w:rFonts w:ascii="Times New Roman" w:hAnsi="Times New Roman" w:cs="Times New Roman"/>
          <w:bCs/>
        </w:rPr>
        <w:t xml:space="preserve"> v </w:t>
      </w:r>
      <w:proofErr w:type="spellStart"/>
      <w:r w:rsidR="00FD01CD" w:rsidRPr="00512C1D">
        <w:rPr>
          <w:rFonts w:ascii="Times New Roman" w:hAnsi="Times New Roman" w:cs="Times New Roman"/>
          <w:bCs/>
        </w:rPr>
        <w:t>Sanofi</w:t>
      </w:r>
      <w:proofErr w:type="spellEnd"/>
      <w:r w:rsidR="00FD01CD" w:rsidRPr="00512C1D">
        <w:rPr>
          <w:rFonts w:ascii="Times New Roman" w:hAnsi="Times New Roman" w:cs="Times New Roman"/>
          <w:bCs/>
        </w:rPr>
        <w:t xml:space="preserve"> Pasteur MSD </w:t>
      </w:r>
      <w:proofErr w:type="spellStart"/>
      <w:r w:rsidR="00FD01CD" w:rsidRPr="00512C1D">
        <w:rPr>
          <w:rFonts w:ascii="Times New Roman" w:hAnsi="Times New Roman" w:cs="Times New Roman"/>
          <w:bCs/>
        </w:rPr>
        <w:t>Ltd</w:t>
      </w:r>
      <w:proofErr w:type="spellEnd"/>
      <w:r w:rsidR="00FD01CD" w:rsidRPr="00512C1D">
        <w:rPr>
          <w:rFonts w:ascii="Times New Roman" w:hAnsi="Times New Roman" w:cs="Times New Roman"/>
        </w:rPr>
        <w:t xml:space="preserve"> (korábban </w:t>
      </w:r>
      <w:proofErr w:type="spellStart"/>
      <w:r w:rsidR="00FD01CD" w:rsidRPr="00512C1D">
        <w:rPr>
          <w:rFonts w:ascii="Times New Roman" w:hAnsi="Times New Roman" w:cs="Times New Roman"/>
        </w:rPr>
        <w:t>Aventis</w:t>
      </w:r>
      <w:proofErr w:type="spellEnd"/>
      <w:r w:rsidR="00FD01CD" w:rsidRPr="00512C1D">
        <w:rPr>
          <w:rFonts w:ascii="Times New Roman" w:hAnsi="Times New Roman" w:cs="Times New Roman"/>
        </w:rPr>
        <w:t xml:space="preserve"> Pasteur</w:t>
      </w:r>
      <w:r w:rsidR="00FD01CD" w:rsidRPr="003D7939">
        <w:rPr>
          <w:rFonts w:ascii="Times New Roman" w:hAnsi="Times New Roman" w:cs="Times New Roman"/>
        </w:rPr>
        <w:t xml:space="preserve"> MSD </w:t>
      </w:r>
      <w:proofErr w:type="spellStart"/>
      <w:r w:rsidR="00FD01CD" w:rsidRPr="003D7939">
        <w:rPr>
          <w:rFonts w:ascii="Times New Roman" w:hAnsi="Times New Roman" w:cs="Times New Roman"/>
        </w:rPr>
        <w:t>Ltd</w:t>
      </w:r>
      <w:proofErr w:type="spellEnd"/>
      <w:r w:rsidR="00FD01CD" w:rsidRPr="003D7939">
        <w:rPr>
          <w:rFonts w:ascii="Times New Roman" w:hAnsi="Times New Roman" w:cs="Times New Roman"/>
        </w:rPr>
        <w:t xml:space="preserve">), </w:t>
      </w:r>
      <w:proofErr w:type="spellStart"/>
      <w:r w:rsidR="00FD01CD" w:rsidRPr="003D7939">
        <w:rPr>
          <w:rFonts w:ascii="Times New Roman" w:hAnsi="Times New Roman" w:cs="Times New Roman"/>
          <w:bCs/>
        </w:rPr>
        <w:t>Sanofi</w:t>
      </w:r>
      <w:proofErr w:type="spellEnd"/>
      <w:r w:rsidR="00FD01CD" w:rsidRPr="003D7939">
        <w:rPr>
          <w:rFonts w:ascii="Times New Roman" w:hAnsi="Times New Roman" w:cs="Times New Roman"/>
          <w:bCs/>
        </w:rPr>
        <w:t xml:space="preserve"> Pasteur SA</w:t>
      </w:r>
      <w:r w:rsidR="00FD01CD" w:rsidRPr="003D7939">
        <w:rPr>
          <w:rFonts w:ascii="Times New Roman" w:hAnsi="Times New Roman" w:cs="Times New Roman"/>
        </w:rPr>
        <w:t xml:space="preserve"> (korábban </w:t>
      </w:r>
      <w:proofErr w:type="spellStart"/>
      <w:r w:rsidR="00FD01CD" w:rsidRPr="003D7939">
        <w:rPr>
          <w:rFonts w:ascii="Times New Roman" w:hAnsi="Times New Roman" w:cs="Times New Roman"/>
        </w:rPr>
        <w:t>Aventis</w:t>
      </w:r>
      <w:proofErr w:type="spellEnd"/>
      <w:r w:rsidR="00FD01CD" w:rsidRPr="003D7939">
        <w:rPr>
          <w:rFonts w:ascii="Times New Roman" w:hAnsi="Times New Roman" w:cs="Times New Roman"/>
        </w:rPr>
        <w:t xml:space="preserve"> Pasteur SA) ügy, C</w:t>
      </w:r>
      <w:r w:rsidR="00FD01CD" w:rsidRPr="003D7939">
        <w:rPr>
          <w:rFonts w:ascii="Times New Roman" w:hAnsi="Times New Roman" w:cs="Times New Roman"/>
        </w:rPr>
        <w:noBreakHyphen/>
        <w:t>503/13. és C</w:t>
      </w:r>
      <w:r w:rsidR="00FD01CD" w:rsidRPr="003D7939">
        <w:rPr>
          <w:rFonts w:ascii="Times New Roman" w:hAnsi="Times New Roman" w:cs="Times New Roman"/>
        </w:rPr>
        <w:noBreakHyphen/>
        <w:t xml:space="preserve">504/13. számú </w:t>
      </w:r>
      <w:r w:rsidR="00FD01CD" w:rsidRPr="003D7939">
        <w:rPr>
          <w:rFonts w:ascii="Times New Roman" w:hAnsi="Times New Roman" w:cs="Times New Roman"/>
          <w:bCs/>
        </w:rPr>
        <w:t xml:space="preserve">Boston </w:t>
      </w:r>
      <w:proofErr w:type="spellStart"/>
      <w:r w:rsidR="00FD01CD" w:rsidRPr="003D7939">
        <w:rPr>
          <w:rFonts w:ascii="Times New Roman" w:hAnsi="Times New Roman" w:cs="Times New Roman"/>
          <w:bCs/>
        </w:rPr>
        <w:t>Scientific</w:t>
      </w:r>
      <w:proofErr w:type="spellEnd"/>
      <w:r w:rsidR="00FD01CD" w:rsidRPr="003D7939">
        <w:rPr>
          <w:rFonts w:ascii="Times New Roman" w:hAnsi="Times New Roman" w:cs="Times New Roman"/>
          <w:bCs/>
        </w:rPr>
        <w:t xml:space="preserve"> </w:t>
      </w:r>
      <w:proofErr w:type="spellStart"/>
      <w:r w:rsidR="00FD01CD" w:rsidRPr="003D7939">
        <w:rPr>
          <w:rFonts w:ascii="Times New Roman" w:hAnsi="Times New Roman" w:cs="Times New Roman"/>
          <w:bCs/>
        </w:rPr>
        <w:t>Medizintechnik</w:t>
      </w:r>
      <w:proofErr w:type="spellEnd"/>
      <w:r w:rsidR="00FD01CD" w:rsidRPr="003D7939">
        <w:rPr>
          <w:rFonts w:ascii="Times New Roman" w:hAnsi="Times New Roman" w:cs="Times New Roman"/>
          <w:bCs/>
        </w:rPr>
        <w:t xml:space="preserve"> GmbH kontra AOK </w:t>
      </w:r>
      <w:proofErr w:type="spellStart"/>
      <w:r w:rsidR="00FD01CD" w:rsidRPr="003D7939">
        <w:rPr>
          <w:rFonts w:ascii="Times New Roman" w:hAnsi="Times New Roman" w:cs="Times New Roman"/>
          <w:bCs/>
        </w:rPr>
        <w:t>Sachsen</w:t>
      </w:r>
      <w:r w:rsidR="00FD01CD" w:rsidRPr="003D7939">
        <w:rPr>
          <w:rFonts w:ascii="Times New Roman" w:hAnsi="Times New Roman" w:cs="Times New Roman"/>
          <w:bCs/>
        </w:rPr>
        <w:noBreakHyphen/>
        <w:t>Anhalt</w:t>
      </w:r>
      <w:proofErr w:type="spellEnd"/>
      <w:r w:rsidR="00FD01CD" w:rsidRPr="003D7939">
        <w:rPr>
          <w:rFonts w:ascii="Times New Roman" w:hAnsi="Times New Roman" w:cs="Times New Roman"/>
          <w:bCs/>
        </w:rPr>
        <w:t xml:space="preserve"> - Die </w:t>
      </w:r>
      <w:proofErr w:type="spellStart"/>
      <w:r w:rsidR="00FD01CD" w:rsidRPr="003D7939">
        <w:rPr>
          <w:rFonts w:ascii="Times New Roman" w:hAnsi="Times New Roman" w:cs="Times New Roman"/>
          <w:bCs/>
        </w:rPr>
        <w:t>Gesundheitskasse</w:t>
      </w:r>
      <w:proofErr w:type="spellEnd"/>
      <w:r w:rsidR="00FD01CD" w:rsidRPr="003D7939">
        <w:rPr>
          <w:rFonts w:ascii="Times New Roman" w:hAnsi="Times New Roman" w:cs="Times New Roman"/>
        </w:rPr>
        <w:t xml:space="preserve">,  </w:t>
      </w:r>
      <w:proofErr w:type="spellStart"/>
      <w:r w:rsidR="00FD01CD" w:rsidRPr="003D7939">
        <w:rPr>
          <w:rFonts w:ascii="Times New Roman" w:hAnsi="Times New Roman" w:cs="Times New Roman"/>
          <w:bCs/>
        </w:rPr>
        <w:t>Betriebskrankenkasse</w:t>
      </w:r>
      <w:proofErr w:type="spellEnd"/>
      <w:r w:rsidR="00FD01CD" w:rsidRPr="003D7939">
        <w:rPr>
          <w:rFonts w:ascii="Times New Roman" w:hAnsi="Times New Roman" w:cs="Times New Roman"/>
          <w:bCs/>
        </w:rPr>
        <w:t xml:space="preserve"> RWE egyesített ügyek, </w:t>
      </w:r>
      <w:r w:rsidR="00FD01CD" w:rsidRPr="003D7939">
        <w:rPr>
          <w:rFonts w:ascii="Times New Roman" w:hAnsi="Times New Roman" w:cs="Times New Roman"/>
        </w:rPr>
        <w:t>C</w:t>
      </w:r>
      <w:r w:rsidR="00FD01CD" w:rsidRPr="003D7939">
        <w:rPr>
          <w:rFonts w:ascii="Times New Roman" w:hAnsi="Times New Roman" w:cs="Times New Roman"/>
        </w:rPr>
        <w:noBreakHyphen/>
        <w:t xml:space="preserve">402/03. számú </w:t>
      </w:r>
      <w:r w:rsidR="00FD01CD" w:rsidRPr="003D7939">
        <w:rPr>
          <w:rFonts w:ascii="Times New Roman" w:hAnsi="Times New Roman" w:cs="Times New Roman"/>
          <w:bCs/>
        </w:rPr>
        <w:t xml:space="preserve">Skov </w:t>
      </w:r>
      <w:proofErr w:type="spellStart"/>
      <w:r w:rsidR="00FD01CD" w:rsidRPr="003D7939">
        <w:rPr>
          <w:rFonts w:ascii="Times New Roman" w:hAnsi="Times New Roman" w:cs="Times New Roman"/>
          <w:bCs/>
        </w:rPr>
        <w:t>Æg</w:t>
      </w:r>
      <w:proofErr w:type="spellEnd"/>
      <w:r w:rsidR="00FD01CD" w:rsidRPr="003D7939">
        <w:rPr>
          <w:rFonts w:ascii="Times New Roman" w:hAnsi="Times New Roman" w:cs="Times New Roman"/>
          <w:bCs/>
        </w:rPr>
        <w:t xml:space="preserve"> </w:t>
      </w:r>
      <w:r w:rsidR="00FD01CD" w:rsidRPr="003D7939">
        <w:rPr>
          <w:rFonts w:ascii="Times New Roman" w:hAnsi="Times New Roman" w:cs="Times New Roman"/>
        </w:rPr>
        <w:t xml:space="preserve">és a </w:t>
      </w:r>
      <w:proofErr w:type="spellStart"/>
      <w:r w:rsidR="00FD01CD" w:rsidRPr="003D7939">
        <w:rPr>
          <w:rFonts w:ascii="Times New Roman" w:hAnsi="Times New Roman" w:cs="Times New Roman"/>
          <w:bCs/>
        </w:rPr>
        <w:t>Bilka</w:t>
      </w:r>
      <w:proofErr w:type="spellEnd"/>
      <w:r w:rsidR="00FD01CD" w:rsidRPr="003D7939">
        <w:rPr>
          <w:rFonts w:ascii="Times New Roman" w:hAnsi="Times New Roman" w:cs="Times New Roman"/>
          <w:bCs/>
        </w:rPr>
        <w:t xml:space="preserve"> </w:t>
      </w:r>
      <w:proofErr w:type="spellStart"/>
      <w:r w:rsidR="00FD01CD" w:rsidRPr="003D7939">
        <w:rPr>
          <w:rFonts w:ascii="Times New Roman" w:hAnsi="Times New Roman" w:cs="Times New Roman"/>
          <w:bCs/>
        </w:rPr>
        <w:t>Lavprisvarehus</w:t>
      </w:r>
      <w:proofErr w:type="spellEnd"/>
      <w:r w:rsidR="00FD01CD" w:rsidRPr="003D7939">
        <w:rPr>
          <w:rFonts w:ascii="Times New Roman" w:hAnsi="Times New Roman" w:cs="Times New Roman"/>
          <w:bCs/>
        </w:rPr>
        <w:t xml:space="preserve"> A/S</w:t>
      </w:r>
      <w:r w:rsidR="00FD01CD" w:rsidRPr="003D7939">
        <w:rPr>
          <w:rFonts w:ascii="Times New Roman" w:hAnsi="Times New Roman" w:cs="Times New Roman"/>
        </w:rPr>
        <w:t xml:space="preserve">, valamint a </w:t>
      </w:r>
      <w:proofErr w:type="spellStart"/>
      <w:r w:rsidR="00FD01CD" w:rsidRPr="003D7939">
        <w:rPr>
          <w:rFonts w:ascii="Times New Roman" w:hAnsi="Times New Roman" w:cs="Times New Roman"/>
          <w:bCs/>
        </w:rPr>
        <w:t>Bilka</w:t>
      </w:r>
      <w:proofErr w:type="spellEnd"/>
      <w:r w:rsidR="00FD01CD" w:rsidRPr="003D7939">
        <w:rPr>
          <w:rFonts w:ascii="Times New Roman" w:hAnsi="Times New Roman" w:cs="Times New Roman"/>
          <w:bCs/>
        </w:rPr>
        <w:t xml:space="preserve"> </w:t>
      </w:r>
      <w:proofErr w:type="spellStart"/>
      <w:r w:rsidR="00FD01CD" w:rsidRPr="003D7939">
        <w:rPr>
          <w:rFonts w:ascii="Times New Roman" w:hAnsi="Times New Roman" w:cs="Times New Roman"/>
          <w:bCs/>
        </w:rPr>
        <w:t>Lavprisvarehus</w:t>
      </w:r>
      <w:proofErr w:type="spellEnd"/>
      <w:r w:rsidR="00FD01CD" w:rsidRPr="003D7939">
        <w:rPr>
          <w:rFonts w:ascii="Times New Roman" w:hAnsi="Times New Roman" w:cs="Times New Roman"/>
          <w:bCs/>
        </w:rPr>
        <w:t xml:space="preserve"> A/S </w:t>
      </w:r>
      <w:r w:rsidR="00FD01CD" w:rsidRPr="003D7939">
        <w:rPr>
          <w:rFonts w:ascii="Times New Roman" w:hAnsi="Times New Roman" w:cs="Times New Roman"/>
        </w:rPr>
        <w:t xml:space="preserve">és </w:t>
      </w:r>
      <w:proofErr w:type="spellStart"/>
      <w:r w:rsidR="00FD01CD" w:rsidRPr="003D7939">
        <w:rPr>
          <w:rFonts w:ascii="Times New Roman" w:hAnsi="Times New Roman" w:cs="Times New Roman"/>
          <w:bCs/>
        </w:rPr>
        <w:t>Jette</w:t>
      </w:r>
      <w:proofErr w:type="spellEnd"/>
      <w:r w:rsidR="00FD01CD" w:rsidRPr="003D7939">
        <w:rPr>
          <w:rFonts w:ascii="Times New Roman" w:hAnsi="Times New Roman" w:cs="Times New Roman"/>
          <w:bCs/>
        </w:rPr>
        <w:t xml:space="preserve"> </w:t>
      </w:r>
      <w:proofErr w:type="spellStart"/>
      <w:r w:rsidR="00FD01CD" w:rsidRPr="003D7939">
        <w:rPr>
          <w:rFonts w:ascii="Times New Roman" w:hAnsi="Times New Roman" w:cs="Times New Roman"/>
          <w:bCs/>
        </w:rPr>
        <w:t>Mikkelsen</w:t>
      </w:r>
      <w:proofErr w:type="spellEnd"/>
      <w:r w:rsidR="00FD01CD" w:rsidRPr="003D7939">
        <w:rPr>
          <w:rFonts w:ascii="Times New Roman" w:hAnsi="Times New Roman" w:cs="Times New Roman"/>
        </w:rPr>
        <w:t xml:space="preserve">, illetve </w:t>
      </w:r>
      <w:r w:rsidR="00FD01CD" w:rsidRPr="00512C1D">
        <w:rPr>
          <w:rFonts w:ascii="Times New Roman" w:hAnsi="Times New Roman" w:cs="Times New Roman"/>
          <w:bCs/>
        </w:rPr>
        <w:t xml:space="preserve">Michael </w:t>
      </w:r>
      <w:proofErr w:type="spellStart"/>
      <w:r w:rsidR="00FD01CD" w:rsidRPr="00512C1D">
        <w:rPr>
          <w:rFonts w:ascii="Times New Roman" w:hAnsi="Times New Roman" w:cs="Times New Roman"/>
          <w:bCs/>
        </w:rPr>
        <w:t>Due</w:t>
      </w:r>
      <w:proofErr w:type="spellEnd"/>
      <w:r w:rsidR="00FD01CD" w:rsidRPr="00512C1D">
        <w:rPr>
          <w:rFonts w:ascii="Times New Roman" w:hAnsi="Times New Roman" w:cs="Times New Roman"/>
          <w:bCs/>
        </w:rPr>
        <w:t xml:space="preserve"> Nielsen </w:t>
      </w:r>
      <w:r w:rsidR="00FD01CD" w:rsidRPr="00512C1D">
        <w:rPr>
          <w:rFonts w:ascii="Times New Roman" w:hAnsi="Times New Roman" w:cs="Times New Roman"/>
        </w:rPr>
        <w:t>ügy, C</w:t>
      </w:r>
      <w:r w:rsidR="00FD01CD" w:rsidRPr="00512C1D">
        <w:rPr>
          <w:rFonts w:ascii="Times New Roman" w:hAnsi="Times New Roman" w:cs="Times New Roman"/>
        </w:rPr>
        <w:noBreakHyphen/>
        <w:t xml:space="preserve">495/10. számú  </w:t>
      </w:r>
      <w:r w:rsidR="00FD01CD" w:rsidRPr="00512C1D">
        <w:rPr>
          <w:rFonts w:ascii="Times New Roman" w:hAnsi="Times New Roman" w:cs="Times New Roman"/>
          <w:bCs/>
        </w:rPr>
        <w:t xml:space="preserve">Centre </w:t>
      </w:r>
      <w:proofErr w:type="spellStart"/>
      <w:r w:rsidR="00FD01CD" w:rsidRPr="00512C1D">
        <w:rPr>
          <w:rFonts w:ascii="Times New Roman" w:hAnsi="Times New Roman" w:cs="Times New Roman"/>
          <w:bCs/>
        </w:rPr>
        <w:t>hospitalier</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universitaire</w:t>
      </w:r>
      <w:proofErr w:type="spellEnd"/>
      <w:r w:rsidR="00FD01CD" w:rsidRPr="00512C1D">
        <w:rPr>
          <w:rFonts w:ascii="Times New Roman" w:hAnsi="Times New Roman" w:cs="Times New Roman"/>
          <w:bCs/>
        </w:rPr>
        <w:t xml:space="preserve"> de </w:t>
      </w:r>
      <w:proofErr w:type="spellStart"/>
      <w:r w:rsidR="00FD01CD" w:rsidRPr="00512C1D">
        <w:rPr>
          <w:rFonts w:ascii="Times New Roman" w:hAnsi="Times New Roman" w:cs="Times New Roman"/>
          <w:bCs/>
        </w:rPr>
        <w:t>Besançon</w:t>
      </w:r>
      <w:proofErr w:type="spellEnd"/>
      <w:r w:rsidR="00FD01CD" w:rsidRPr="00512C1D">
        <w:rPr>
          <w:rFonts w:ascii="Times New Roman" w:hAnsi="Times New Roman" w:cs="Times New Roman"/>
          <w:bCs/>
        </w:rPr>
        <w:t xml:space="preserve"> kontra Thomas </w:t>
      </w:r>
      <w:proofErr w:type="spellStart"/>
      <w:r w:rsidR="00FD01CD" w:rsidRPr="00512C1D">
        <w:rPr>
          <w:rFonts w:ascii="Times New Roman" w:hAnsi="Times New Roman" w:cs="Times New Roman"/>
          <w:bCs/>
        </w:rPr>
        <w:t>Dutrueux</w:t>
      </w:r>
      <w:proofErr w:type="spellEnd"/>
      <w:r w:rsidR="00FD01CD" w:rsidRPr="00512C1D">
        <w:rPr>
          <w:rFonts w:ascii="Times New Roman" w:hAnsi="Times New Roman" w:cs="Times New Roman"/>
        </w:rPr>
        <w:t xml:space="preserve">, </w:t>
      </w:r>
      <w:proofErr w:type="spellStart"/>
      <w:r w:rsidR="00FD01CD" w:rsidRPr="00512C1D">
        <w:rPr>
          <w:rFonts w:ascii="Times New Roman" w:hAnsi="Times New Roman" w:cs="Times New Roman"/>
          <w:bCs/>
        </w:rPr>
        <w:t>Caisse</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primaire</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d’assurance</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maladie</w:t>
      </w:r>
      <w:proofErr w:type="spellEnd"/>
      <w:r w:rsidR="00FD01CD" w:rsidRPr="00512C1D">
        <w:rPr>
          <w:rFonts w:ascii="Times New Roman" w:hAnsi="Times New Roman" w:cs="Times New Roman"/>
          <w:bCs/>
        </w:rPr>
        <w:t xml:space="preserve"> du Jura ügy, </w:t>
      </w:r>
      <w:r w:rsidR="00FD01CD" w:rsidRPr="00512C1D">
        <w:rPr>
          <w:rFonts w:ascii="Times New Roman" w:hAnsi="Times New Roman" w:cs="Times New Roman"/>
        </w:rPr>
        <w:t>C</w:t>
      </w:r>
      <w:r w:rsidR="00FD01CD" w:rsidRPr="00512C1D">
        <w:rPr>
          <w:rFonts w:ascii="Times New Roman" w:hAnsi="Times New Roman" w:cs="Times New Roman"/>
        </w:rPr>
        <w:noBreakHyphen/>
        <w:t>358/08. számú </w:t>
      </w:r>
      <w:proofErr w:type="spellStart"/>
      <w:r w:rsidR="00FD01CD" w:rsidRPr="00512C1D">
        <w:rPr>
          <w:rFonts w:ascii="Times New Roman" w:hAnsi="Times New Roman" w:cs="Times New Roman"/>
          <w:bCs/>
        </w:rPr>
        <w:t>Aventis</w:t>
      </w:r>
      <w:proofErr w:type="spellEnd"/>
      <w:r w:rsidR="00FD01CD" w:rsidRPr="00512C1D">
        <w:rPr>
          <w:rFonts w:ascii="Times New Roman" w:hAnsi="Times New Roman" w:cs="Times New Roman"/>
          <w:bCs/>
        </w:rPr>
        <w:t xml:space="preserve"> Pasteur SA kontra OB  ügy, </w:t>
      </w:r>
      <w:r w:rsidR="00FD01CD" w:rsidRPr="00512C1D">
        <w:rPr>
          <w:rFonts w:ascii="Times New Roman" w:hAnsi="Times New Roman" w:cs="Times New Roman"/>
        </w:rPr>
        <w:t>C</w:t>
      </w:r>
      <w:r w:rsidR="00FD01CD" w:rsidRPr="00512C1D">
        <w:rPr>
          <w:rFonts w:ascii="Times New Roman" w:hAnsi="Times New Roman" w:cs="Times New Roman"/>
        </w:rPr>
        <w:noBreakHyphen/>
        <w:t xml:space="preserve">127/04.  számú </w:t>
      </w:r>
      <w:proofErr w:type="spellStart"/>
      <w:r w:rsidR="00FD01CD" w:rsidRPr="00512C1D">
        <w:rPr>
          <w:rFonts w:ascii="Times New Roman" w:hAnsi="Times New Roman" w:cs="Times New Roman"/>
          <w:bCs/>
        </w:rPr>
        <w:t>Declan</w:t>
      </w:r>
      <w:proofErr w:type="spellEnd"/>
      <w:r w:rsidR="00FD01CD" w:rsidRPr="00512C1D">
        <w:rPr>
          <w:rFonts w:ascii="Times New Roman" w:hAnsi="Times New Roman" w:cs="Times New Roman"/>
          <w:bCs/>
        </w:rPr>
        <w:t xml:space="preserve"> </w:t>
      </w:r>
      <w:proofErr w:type="spellStart"/>
      <w:r w:rsidR="00FD01CD" w:rsidRPr="00512C1D">
        <w:rPr>
          <w:rFonts w:ascii="Times New Roman" w:hAnsi="Times New Roman" w:cs="Times New Roman"/>
          <w:bCs/>
        </w:rPr>
        <w:t>O’Byrne</w:t>
      </w:r>
      <w:proofErr w:type="spellEnd"/>
      <w:r w:rsidR="00FD01CD" w:rsidRPr="00512C1D">
        <w:rPr>
          <w:rFonts w:ascii="Times New Roman" w:hAnsi="Times New Roman" w:cs="Times New Roman"/>
          <w:bCs/>
        </w:rPr>
        <w:t xml:space="preserve"> kontra </w:t>
      </w:r>
      <w:proofErr w:type="spellStart"/>
      <w:r w:rsidR="00FD01CD" w:rsidRPr="00512C1D">
        <w:rPr>
          <w:rFonts w:ascii="Times New Roman" w:hAnsi="Times New Roman" w:cs="Times New Roman"/>
          <w:bCs/>
        </w:rPr>
        <w:t>Sanofi</w:t>
      </w:r>
      <w:proofErr w:type="spellEnd"/>
      <w:r w:rsidR="00FD01CD" w:rsidRPr="00512C1D">
        <w:rPr>
          <w:rFonts w:ascii="Times New Roman" w:hAnsi="Times New Roman" w:cs="Times New Roman"/>
          <w:bCs/>
        </w:rPr>
        <w:t xml:space="preserve"> Pasteur MSD </w:t>
      </w:r>
      <w:proofErr w:type="spellStart"/>
      <w:r w:rsidR="00FD01CD" w:rsidRPr="00512C1D">
        <w:rPr>
          <w:rFonts w:ascii="Times New Roman" w:hAnsi="Times New Roman" w:cs="Times New Roman"/>
          <w:bCs/>
        </w:rPr>
        <w:t>Ltd</w:t>
      </w:r>
      <w:proofErr w:type="spellEnd"/>
      <w:r w:rsidR="00FD01CD" w:rsidRPr="00512C1D">
        <w:rPr>
          <w:rFonts w:ascii="Times New Roman" w:hAnsi="Times New Roman" w:cs="Times New Roman"/>
        </w:rPr>
        <w:t xml:space="preserve"> (korábban </w:t>
      </w:r>
      <w:proofErr w:type="spellStart"/>
      <w:r w:rsidR="00FD01CD" w:rsidRPr="00512C1D">
        <w:rPr>
          <w:rFonts w:ascii="Times New Roman" w:hAnsi="Times New Roman" w:cs="Times New Roman"/>
        </w:rPr>
        <w:t>Aventis</w:t>
      </w:r>
      <w:proofErr w:type="spellEnd"/>
      <w:r w:rsidR="00FD01CD" w:rsidRPr="00512C1D">
        <w:rPr>
          <w:rFonts w:ascii="Times New Roman" w:hAnsi="Times New Roman" w:cs="Times New Roman"/>
        </w:rPr>
        <w:t xml:space="preserve"> Pasteur MSD </w:t>
      </w:r>
      <w:proofErr w:type="spellStart"/>
      <w:r w:rsidR="00FD01CD" w:rsidRPr="00512C1D">
        <w:rPr>
          <w:rFonts w:ascii="Times New Roman" w:hAnsi="Times New Roman" w:cs="Times New Roman"/>
        </w:rPr>
        <w:t>Ltd</w:t>
      </w:r>
      <w:proofErr w:type="spellEnd"/>
      <w:r w:rsidR="00FD01CD" w:rsidRPr="00512C1D">
        <w:rPr>
          <w:rFonts w:ascii="Times New Roman" w:hAnsi="Times New Roman" w:cs="Times New Roman"/>
        </w:rPr>
        <w:t>)</w:t>
      </w:r>
      <w:r w:rsidR="00512C1D" w:rsidRPr="00512C1D">
        <w:rPr>
          <w:rFonts w:ascii="Times New Roman" w:hAnsi="Times New Roman" w:cs="Times New Roman"/>
        </w:rPr>
        <w:t xml:space="preserve"> ügy</w:t>
      </w:r>
      <w:r w:rsidR="00FD01CD" w:rsidRPr="00512C1D">
        <w:rPr>
          <w:rFonts w:ascii="Times New Roman" w:hAnsi="Times New Roman" w:cs="Times New Roman"/>
        </w:rPr>
        <w:t xml:space="preserve">, </w:t>
      </w:r>
      <w:r w:rsidR="00512C1D" w:rsidRPr="00512C1D">
        <w:rPr>
          <w:rFonts w:ascii="Times New Roman" w:hAnsi="Times New Roman" w:cs="Times New Roman"/>
        </w:rPr>
        <w:t>C</w:t>
      </w:r>
      <w:r w:rsidR="00512C1D" w:rsidRPr="00512C1D">
        <w:rPr>
          <w:rFonts w:ascii="Times New Roman" w:hAnsi="Times New Roman" w:cs="Times New Roman"/>
        </w:rPr>
        <w:noBreakHyphen/>
        <w:t xml:space="preserve">285/08. számú </w:t>
      </w:r>
      <w:proofErr w:type="spellStart"/>
      <w:r w:rsidR="00512C1D" w:rsidRPr="00512C1D">
        <w:rPr>
          <w:rFonts w:ascii="Times New Roman" w:hAnsi="Times New Roman" w:cs="Times New Roman"/>
        </w:rPr>
        <w:t>Moteurs</w:t>
      </w:r>
      <w:proofErr w:type="spellEnd"/>
      <w:r w:rsidR="00512C1D" w:rsidRPr="00512C1D">
        <w:rPr>
          <w:rFonts w:ascii="Times New Roman" w:hAnsi="Times New Roman" w:cs="Times New Roman"/>
        </w:rPr>
        <w:t xml:space="preserve"> </w:t>
      </w:r>
      <w:proofErr w:type="spellStart"/>
      <w:r w:rsidR="00512C1D" w:rsidRPr="00512C1D">
        <w:rPr>
          <w:rFonts w:ascii="Times New Roman" w:hAnsi="Times New Roman" w:cs="Times New Roman"/>
        </w:rPr>
        <w:t>Leroy</w:t>
      </w:r>
      <w:proofErr w:type="spellEnd"/>
      <w:r w:rsidR="00512C1D" w:rsidRPr="00512C1D">
        <w:rPr>
          <w:rFonts w:ascii="Times New Roman" w:hAnsi="Times New Roman" w:cs="Times New Roman"/>
        </w:rPr>
        <w:t xml:space="preserve"> </w:t>
      </w:r>
      <w:proofErr w:type="spellStart"/>
      <w:r w:rsidR="00512C1D" w:rsidRPr="00512C1D">
        <w:rPr>
          <w:rFonts w:ascii="Times New Roman" w:hAnsi="Times New Roman" w:cs="Times New Roman"/>
        </w:rPr>
        <w:t>Somer</w:t>
      </w:r>
      <w:proofErr w:type="spellEnd"/>
      <w:r w:rsidR="00512C1D" w:rsidRPr="00512C1D">
        <w:rPr>
          <w:rFonts w:ascii="Times New Roman" w:hAnsi="Times New Roman" w:cs="Times New Roman"/>
        </w:rPr>
        <w:t xml:space="preserve"> kontra </w:t>
      </w:r>
      <w:proofErr w:type="spellStart"/>
      <w:r w:rsidR="00512C1D" w:rsidRPr="00512C1D">
        <w:rPr>
          <w:rFonts w:ascii="Times New Roman" w:hAnsi="Times New Roman" w:cs="Times New Roman"/>
        </w:rPr>
        <w:t>Dalkia</w:t>
      </w:r>
      <w:proofErr w:type="spellEnd"/>
      <w:r w:rsidR="00512C1D" w:rsidRPr="00512C1D">
        <w:rPr>
          <w:rFonts w:ascii="Times New Roman" w:hAnsi="Times New Roman" w:cs="Times New Roman"/>
        </w:rPr>
        <w:t xml:space="preserve"> France, valamint </w:t>
      </w:r>
      <w:proofErr w:type="spellStart"/>
      <w:r w:rsidR="00512C1D" w:rsidRPr="00512C1D">
        <w:rPr>
          <w:rFonts w:ascii="Times New Roman" w:hAnsi="Times New Roman" w:cs="Times New Roman"/>
        </w:rPr>
        <w:t>Ace</w:t>
      </w:r>
      <w:proofErr w:type="spellEnd"/>
      <w:r w:rsidR="00512C1D" w:rsidRPr="00512C1D">
        <w:rPr>
          <w:rFonts w:ascii="Times New Roman" w:hAnsi="Times New Roman" w:cs="Times New Roman"/>
        </w:rPr>
        <w:t xml:space="preserve"> Europe ügy, C</w:t>
      </w:r>
      <w:r w:rsidR="00512C1D" w:rsidRPr="00512C1D">
        <w:rPr>
          <w:rFonts w:ascii="Times New Roman" w:hAnsi="Times New Roman" w:cs="Times New Roman"/>
        </w:rPr>
        <w:noBreakHyphen/>
        <w:t xml:space="preserve">310/13. számú Novo </w:t>
      </w:r>
      <w:proofErr w:type="spellStart"/>
      <w:r w:rsidR="00512C1D" w:rsidRPr="00512C1D">
        <w:rPr>
          <w:rFonts w:ascii="Times New Roman" w:hAnsi="Times New Roman" w:cs="Times New Roman"/>
        </w:rPr>
        <w:t>Nordisk</w:t>
      </w:r>
      <w:proofErr w:type="spellEnd"/>
      <w:r w:rsidR="00512C1D" w:rsidRPr="00512C1D">
        <w:rPr>
          <w:rFonts w:ascii="Times New Roman" w:hAnsi="Times New Roman" w:cs="Times New Roman"/>
        </w:rPr>
        <w:t xml:space="preserve"> Pharma GmbH kontra S. ügy</w:t>
      </w:r>
      <w:r w:rsidR="00E1485D">
        <w:rPr>
          <w:rFonts w:ascii="Times New Roman" w:hAnsi="Times New Roman" w:cs="Times New Roman"/>
        </w:rPr>
        <w:t xml:space="preserve">, </w:t>
      </w:r>
      <w:proofErr w:type="spellStart"/>
      <w:r w:rsidR="00FD01CD" w:rsidRPr="00512C1D">
        <w:rPr>
          <w:rFonts w:ascii="Times New Roman" w:hAnsi="Times New Roman" w:cs="Times New Roman"/>
          <w:bCs/>
        </w:rPr>
        <w:t>Sanofi</w:t>
      </w:r>
      <w:proofErr w:type="spellEnd"/>
      <w:r w:rsidR="00FD01CD" w:rsidRPr="00512C1D">
        <w:rPr>
          <w:rFonts w:ascii="Times New Roman" w:hAnsi="Times New Roman" w:cs="Times New Roman"/>
          <w:bCs/>
        </w:rPr>
        <w:t xml:space="preserve"> </w:t>
      </w:r>
      <w:r w:rsidR="00FD01CD" w:rsidRPr="00512C1D">
        <w:rPr>
          <w:rFonts w:ascii="Times New Roman" w:hAnsi="Times New Roman" w:cs="Times New Roman"/>
          <w:bCs/>
        </w:rPr>
        <w:lastRenderedPageBreak/>
        <w:t>Pasteur SA</w:t>
      </w:r>
      <w:r w:rsidR="00FD01CD" w:rsidRPr="00512C1D">
        <w:rPr>
          <w:rFonts w:ascii="Times New Roman" w:hAnsi="Times New Roman" w:cs="Times New Roman"/>
        </w:rPr>
        <w:t xml:space="preserve"> (korábban </w:t>
      </w:r>
      <w:proofErr w:type="spellStart"/>
      <w:r w:rsidR="00FD01CD" w:rsidRPr="00512C1D">
        <w:rPr>
          <w:rFonts w:ascii="Times New Roman" w:hAnsi="Times New Roman" w:cs="Times New Roman"/>
        </w:rPr>
        <w:t>Aventis</w:t>
      </w:r>
      <w:proofErr w:type="spellEnd"/>
      <w:r w:rsidR="00FD01CD" w:rsidRPr="00512C1D">
        <w:rPr>
          <w:rFonts w:ascii="Times New Roman" w:hAnsi="Times New Roman" w:cs="Times New Roman"/>
        </w:rPr>
        <w:t xml:space="preserve"> Pasteur SA) ügy, </w:t>
      </w:r>
      <w:proofErr w:type="spellStart"/>
      <w:r w:rsidR="00FD01CD" w:rsidRPr="00512C1D">
        <w:rPr>
          <w:rFonts w:ascii="Times New Roman" w:hAnsi="Times New Roman" w:cs="Times New Roman"/>
          <w:color w:val="000000" w:themeColor="text1"/>
        </w:rPr>
        <w:t>MacPherson</w:t>
      </w:r>
      <w:proofErr w:type="spellEnd"/>
      <w:r w:rsidR="00FD01CD" w:rsidRPr="00512C1D">
        <w:rPr>
          <w:rFonts w:ascii="Times New Roman" w:hAnsi="Times New Roman" w:cs="Times New Roman"/>
          <w:color w:val="000000" w:themeColor="text1"/>
        </w:rPr>
        <w:t xml:space="preserve"> kontra </w:t>
      </w:r>
      <w:proofErr w:type="spellStart"/>
      <w:r w:rsidR="00FD01CD" w:rsidRPr="00512C1D">
        <w:rPr>
          <w:rFonts w:ascii="Times New Roman" w:hAnsi="Times New Roman" w:cs="Times New Roman"/>
          <w:color w:val="000000" w:themeColor="text1"/>
        </w:rPr>
        <w:t>Buick</w:t>
      </w:r>
      <w:proofErr w:type="spellEnd"/>
      <w:r w:rsidR="00FD01CD" w:rsidRPr="00512C1D">
        <w:rPr>
          <w:rFonts w:ascii="Times New Roman" w:hAnsi="Times New Roman" w:cs="Times New Roman"/>
          <w:color w:val="000000" w:themeColor="text1"/>
        </w:rPr>
        <w:t xml:space="preserve"> Motor Co.</w:t>
      </w:r>
      <w:r w:rsidR="005A724F">
        <w:rPr>
          <w:rFonts w:ascii="Times New Roman" w:hAnsi="Times New Roman" w:cs="Times New Roman"/>
          <w:color w:val="000000" w:themeColor="text1"/>
        </w:rPr>
        <w:t xml:space="preserve"> </w:t>
      </w:r>
      <w:r w:rsidR="005A724F" w:rsidRPr="005A724F">
        <w:rPr>
          <w:rFonts w:ascii="Times New Roman" w:hAnsi="Times New Roman" w:cs="Times New Roman"/>
          <w:color w:val="000000" w:themeColor="text1"/>
        </w:rPr>
        <w:t>217 N.Y. 382, 111 N.E. 1050 (1916)</w:t>
      </w:r>
      <w:r w:rsidR="00FD01CD" w:rsidRPr="00512C1D">
        <w:rPr>
          <w:rFonts w:ascii="Times New Roman" w:hAnsi="Times New Roman" w:cs="Times New Roman"/>
          <w:color w:val="000000" w:themeColor="text1"/>
        </w:rPr>
        <w:t xml:space="preserve">, </w:t>
      </w:r>
      <w:proofErr w:type="spellStart"/>
      <w:r w:rsidR="00FD01CD" w:rsidRPr="00512C1D">
        <w:rPr>
          <w:rStyle w:val="apple-style-span"/>
          <w:rFonts w:ascii="Times New Roman" w:hAnsi="Times New Roman" w:cs="Times New Roman"/>
          <w:color w:val="000000"/>
        </w:rPr>
        <w:t>Donoghue-McElister</w:t>
      </w:r>
      <w:proofErr w:type="spellEnd"/>
      <w:r w:rsidR="00FD01CD" w:rsidRPr="00512C1D">
        <w:rPr>
          <w:rStyle w:val="apple-style-span"/>
          <w:rFonts w:ascii="Times New Roman" w:hAnsi="Times New Roman" w:cs="Times New Roman"/>
          <w:color w:val="000000"/>
        </w:rPr>
        <w:t xml:space="preserve">  kontra </w:t>
      </w:r>
      <w:proofErr w:type="spellStart"/>
      <w:r w:rsidR="00FD01CD" w:rsidRPr="00512C1D">
        <w:rPr>
          <w:rStyle w:val="apple-style-span"/>
          <w:rFonts w:ascii="Times New Roman" w:hAnsi="Times New Roman" w:cs="Times New Roman"/>
          <w:color w:val="000000"/>
        </w:rPr>
        <w:t>Stevhenson</w:t>
      </w:r>
      <w:proofErr w:type="spellEnd"/>
      <w:r w:rsidR="005A724F">
        <w:rPr>
          <w:rStyle w:val="apple-style-span"/>
          <w:rFonts w:ascii="Times New Roman" w:hAnsi="Times New Roman" w:cs="Times New Roman"/>
          <w:color w:val="000000"/>
        </w:rPr>
        <w:t xml:space="preserve"> </w:t>
      </w:r>
      <w:r w:rsidR="005A724F" w:rsidRPr="005A724F">
        <w:rPr>
          <w:rStyle w:val="apple-style-span"/>
          <w:rFonts w:ascii="Times New Roman" w:hAnsi="Times New Roman" w:cs="Times New Roman"/>
          <w:color w:val="000000"/>
        </w:rPr>
        <w:t>[1932] UKHL 100</w:t>
      </w:r>
      <w:r w:rsidR="00FD01CD" w:rsidRPr="00512C1D">
        <w:rPr>
          <w:rStyle w:val="apple-style-span"/>
          <w:rFonts w:ascii="Times New Roman" w:hAnsi="Times New Roman" w:cs="Times New Roman"/>
          <w:color w:val="000000"/>
        </w:rPr>
        <w:t xml:space="preserve">, </w:t>
      </w:r>
      <w:proofErr w:type="spellStart"/>
      <w:r w:rsidR="00FD01CD" w:rsidRPr="00512C1D">
        <w:rPr>
          <w:rFonts w:ascii="Times New Roman" w:hAnsi="Times New Roman" w:cs="Times New Roman"/>
        </w:rPr>
        <w:t>Hühnerpest-Fall</w:t>
      </w:r>
      <w:proofErr w:type="spellEnd"/>
      <w:r w:rsidR="005A724F">
        <w:rPr>
          <w:rFonts w:ascii="Times New Roman" w:hAnsi="Times New Roman" w:cs="Times New Roman"/>
        </w:rPr>
        <w:t xml:space="preserve"> </w:t>
      </w:r>
      <w:r w:rsidR="005A724F" w:rsidRPr="005A724F">
        <w:rPr>
          <w:rFonts w:ascii="Times New Roman" w:hAnsi="Times New Roman" w:cs="Times New Roman"/>
        </w:rPr>
        <w:t>BGHZ 51, 91</w:t>
      </w:r>
      <w:r w:rsidR="00FD01CD" w:rsidRPr="00512C1D">
        <w:rPr>
          <w:rFonts w:ascii="Times New Roman" w:hAnsi="Times New Roman" w:cs="Times New Roman"/>
        </w:rPr>
        <w:t xml:space="preserve">, </w:t>
      </w:r>
      <w:proofErr w:type="spellStart"/>
      <w:r w:rsidR="00FD01CD" w:rsidRPr="00512C1D">
        <w:rPr>
          <w:rStyle w:val="apple-style-span"/>
          <w:rFonts w:ascii="Times New Roman" w:hAnsi="Times New Roman" w:cs="Times New Roman"/>
          <w:color w:val="000000"/>
        </w:rPr>
        <w:t>Salatblattfall</w:t>
      </w:r>
      <w:proofErr w:type="spellEnd"/>
      <w:r w:rsidR="005A724F">
        <w:rPr>
          <w:rStyle w:val="apple-style-span"/>
          <w:rFonts w:ascii="Times New Roman" w:hAnsi="Times New Roman" w:cs="Times New Roman"/>
          <w:color w:val="000000"/>
        </w:rPr>
        <w:t xml:space="preserve"> </w:t>
      </w:r>
      <w:r w:rsidR="005A724F" w:rsidRPr="005A724F">
        <w:rPr>
          <w:rStyle w:val="apple-style-span"/>
          <w:rFonts w:ascii="Times New Roman" w:hAnsi="Times New Roman" w:cs="Times New Roman"/>
          <w:color w:val="000000"/>
        </w:rPr>
        <w:t>BGHZ 66, 51</w:t>
      </w:r>
      <w:r w:rsidR="00512C1D" w:rsidRPr="00512C1D">
        <w:rPr>
          <w:rStyle w:val="apple-style-span"/>
          <w:rFonts w:ascii="Times New Roman" w:hAnsi="Times New Roman" w:cs="Times New Roman"/>
          <w:color w:val="000000"/>
        </w:rPr>
        <w:t xml:space="preserve">, </w:t>
      </w:r>
      <w:proofErr w:type="spellStart"/>
      <w:r w:rsidR="00512C1D" w:rsidRPr="00512C1D">
        <w:rPr>
          <w:rFonts w:ascii="Times New Roman" w:hAnsi="Times New Roman" w:cs="Times New Roman"/>
        </w:rPr>
        <w:t>Boyd</w:t>
      </w:r>
      <w:proofErr w:type="spellEnd"/>
      <w:r w:rsidR="00512C1D" w:rsidRPr="00512C1D">
        <w:rPr>
          <w:rFonts w:ascii="Times New Roman" w:hAnsi="Times New Roman" w:cs="Times New Roman"/>
        </w:rPr>
        <w:t xml:space="preserve"> kontra Coca Cola </w:t>
      </w:r>
      <w:proofErr w:type="spellStart"/>
      <w:r w:rsidR="00512C1D" w:rsidRPr="00512C1D">
        <w:rPr>
          <w:rFonts w:ascii="Times New Roman" w:hAnsi="Times New Roman" w:cs="Times New Roman"/>
        </w:rPr>
        <w:t>Bottling</w:t>
      </w:r>
      <w:proofErr w:type="spellEnd"/>
      <w:r w:rsidR="00512C1D" w:rsidRPr="00512C1D">
        <w:rPr>
          <w:rFonts w:ascii="Times New Roman" w:hAnsi="Times New Roman" w:cs="Times New Roman"/>
        </w:rPr>
        <w:t xml:space="preserve"> Works</w:t>
      </w:r>
      <w:r w:rsidR="00262727">
        <w:rPr>
          <w:rFonts w:ascii="Times New Roman" w:hAnsi="Times New Roman" w:cs="Times New Roman"/>
        </w:rPr>
        <w:t xml:space="preserve"> </w:t>
      </w:r>
      <w:r w:rsidR="00262727" w:rsidRPr="00262727">
        <w:rPr>
          <w:rFonts w:ascii="Times New Roman" w:hAnsi="Times New Roman" w:cs="Times New Roman"/>
        </w:rPr>
        <w:t>177 S.W. 80. (</w:t>
      </w:r>
      <w:proofErr w:type="spellStart"/>
      <w:r w:rsidR="00262727" w:rsidRPr="00262727">
        <w:rPr>
          <w:rFonts w:ascii="Times New Roman" w:hAnsi="Times New Roman" w:cs="Times New Roman"/>
        </w:rPr>
        <w:t>Tenn</w:t>
      </w:r>
      <w:proofErr w:type="spellEnd"/>
      <w:r w:rsidR="00262727" w:rsidRPr="00262727">
        <w:rPr>
          <w:rFonts w:ascii="Times New Roman" w:hAnsi="Times New Roman" w:cs="Times New Roman"/>
        </w:rPr>
        <w:t>. 1915)</w:t>
      </w:r>
      <w:r w:rsidR="00262727">
        <w:rPr>
          <w:rFonts w:ascii="Times New Roman" w:hAnsi="Times New Roman" w:cs="Times New Roman"/>
        </w:rPr>
        <w:t xml:space="preserve">, </w:t>
      </w:r>
      <w:r w:rsidR="00512C1D" w:rsidRPr="00512C1D">
        <w:rPr>
          <w:rFonts w:ascii="Times New Roman" w:hAnsi="Times New Roman" w:cs="Times New Roman"/>
          <w:color w:val="000000" w:themeColor="text1"/>
        </w:rPr>
        <w:t>Thomas kontra Winchester</w:t>
      </w:r>
      <w:r w:rsidR="00262727">
        <w:rPr>
          <w:rFonts w:ascii="Times New Roman" w:hAnsi="Times New Roman" w:cs="Times New Roman"/>
          <w:color w:val="000000" w:themeColor="text1"/>
        </w:rPr>
        <w:t xml:space="preserve"> </w:t>
      </w:r>
      <w:r w:rsidR="00262727" w:rsidRPr="00262727">
        <w:rPr>
          <w:rFonts w:ascii="Times New Roman" w:hAnsi="Times New Roman" w:cs="Times New Roman"/>
          <w:color w:val="000000" w:themeColor="text1"/>
        </w:rPr>
        <w:t>6 N.Y. 397 (1852)</w:t>
      </w:r>
    </w:p>
    <w:p w:rsidR="00382356" w:rsidRPr="00512C1D" w:rsidRDefault="00382356" w:rsidP="00382356">
      <w:pPr>
        <w:jc w:val="both"/>
        <w:rPr>
          <w:rFonts w:ascii="Times New Roman" w:hAnsi="Times New Roman" w:cs="Times New Roman"/>
          <w:color w:val="000000" w:themeColor="text1"/>
        </w:rPr>
      </w:pPr>
    </w:p>
    <w:p w:rsidR="00BB57CA" w:rsidRPr="007C3CEF" w:rsidRDefault="00B64FC7" w:rsidP="00382356">
      <w:pPr>
        <w:pStyle w:val="Cmsor1"/>
        <w:spacing w:before="0"/>
        <w:jc w:val="both"/>
        <w:rPr>
          <w:rFonts w:ascii="Times New Roman" w:hAnsi="Times New Roman" w:cs="Times New Roman"/>
          <w:bCs w:val="0"/>
          <w:color w:val="000000" w:themeColor="text1"/>
          <w:sz w:val="24"/>
          <w:szCs w:val="24"/>
        </w:rPr>
      </w:pPr>
      <w:bookmarkStart w:id="0" w:name="pr26"/>
      <w:bookmarkStart w:id="1" w:name="pr27"/>
      <w:bookmarkStart w:id="2" w:name="pr28"/>
      <w:bookmarkStart w:id="3" w:name="pr29"/>
      <w:bookmarkStart w:id="4" w:name="pr30"/>
      <w:bookmarkStart w:id="5" w:name="pr31"/>
      <w:bookmarkStart w:id="6" w:name="pr32"/>
      <w:bookmarkStart w:id="7" w:name="pr33"/>
      <w:bookmarkStart w:id="8" w:name="pr6386"/>
      <w:bookmarkStart w:id="9" w:name="pr6525"/>
      <w:bookmarkStart w:id="10" w:name="pr6526"/>
      <w:bookmarkStart w:id="11" w:name="pr6527"/>
      <w:bookmarkStart w:id="12" w:name="pr6528"/>
      <w:bookmarkStart w:id="13" w:name="pr6531"/>
      <w:bookmarkEnd w:id="0"/>
      <w:bookmarkEnd w:id="1"/>
      <w:bookmarkEnd w:id="2"/>
      <w:bookmarkEnd w:id="3"/>
      <w:bookmarkEnd w:id="4"/>
      <w:bookmarkEnd w:id="5"/>
      <w:bookmarkEnd w:id="6"/>
      <w:bookmarkEnd w:id="7"/>
      <w:bookmarkEnd w:id="8"/>
      <w:bookmarkEnd w:id="9"/>
      <w:bookmarkEnd w:id="10"/>
      <w:bookmarkEnd w:id="11"/>
      <w:bookmarkEnd w:id="12"/>
      <w:bookmarkEnd w:id="13"/>
      <w:r w:rsidRPr="007C3CEF">
        <w:rPr>
          <w:rFonts w:ascii="Times New Roman" w:hAnsi="Times New Roman" w:cs="Times New Roman"/>
          <w:bCs w:val="0"/>
          <w:color w:val="000000" w:themeColor="text1"/>
          <w:sz w:val="24"/>
          <w:szCs w:val="24"/>
        </w:rPr>
        <w:t xml:space="preserve">1. </w:t>
      </w:r>
      <w:r w:rsidR="00FE1E1C">
        <w:rPr>
          <w:rFonts w:ascii="Times New Roman" w:hAnsi="Times New Roman" w:cs="Times New Roman"/>
          <w:bCs w:val="0"/>
          <w:color w:val="000000" w:themeColor="text1"/>
          <w:sz w:val="24"/>
          <w:szCs w:val="24"/>
        </w:rPr>
        <w:t>A s</w:t>
      </w:r>
      <w:r w:rsidR="00FE1E1C" w:rsidRPr="00FE1E1C">
        <w:rPr>
          <w:rFonts w:ascii="Times New Roman" w:hAnsi="Times New Roman" w:cs="Times New Roman"/>
          <w:bCs w:val="0"/>
          <w:color w:val="000000" w:themeColor="text1"/>
          <w:sz w:val="24"/>
          <w:szCs w:val="24"/>
        </w:rPr>
        <w:t>zabályozás alapjai: a termékfelelősség kialakulásának jogintézményi alapjai</w:t>
      </w:r>
    </w:p>
    <w:p w:rsidR="00BB57CA" w:rsidRPr="003D7939" w:rsidRDefault="00BB57CA" w:rsidP="00382356">
      <w:pPr>
        <w:ind w:left="12" w:right="52"/>
        <w:jc w:val="both"/>
        <w:rPr>
          <w:rFonts w:ascii="Times New Roman" w:hAnsi="Times New Roman" w:cs="Times New Roman"/>
          <w:color w:val="000000" w:themeColor="text1"/>
        </w:rPr>
      </w:pPr>
    </w:p>
    <w:p w:rsidR="001461A9" w:rsidRPr="003D7939" w:rsidRDefault="001461A9"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A</w:t>
      </w:r>
      <w:r w:rsidRPr="00FE1E1C">
        <w:rPr>
          <w:rFonts w:ascii="Times New Roman" w:hAnsi="Times New Roman" w:cs="Times New Roman"/>
          <w:color w:val="000000" w:themeColor="text1"/>
        </w:rPr>
        <w:t xml:space="preserve"> termékfelelősség</w:t>
      </w:r>
      <w:r w:rsidRPr="003D7939">
        <w:rPr>
          <w:rFonts w:ascii="Times New Roman" w:hAnsi="Times New Roman" w:cs="Times New Roman"/>
          <w:color w:val="000000" w:themeColor="text1"/>
        </w:rPr>
        <w:t xml:space="preserve"> - mint a hibás termék által okozott károkért való helytállás - az európai államok jogrendszerében </w:t>
      </w:r>
      <w:r w:rsidR="00286A86" w:rsidRPr="003D7939">
        <w:rPr>
          <w:rFonts w:ascii="Times New Roman" w:hAnsi="Times New Roman" w:cs="Times New Roman"/>
          <w:color w:val="000000" w:themeColor="text1"/>
        </w:rPr>
        <w:t xml:space="preserve">egészen 1985-ig nem volt önálló alapokon nyugvó jogintézmény, a </w:t>
      </w:r>
      <w:r w:rsidR="00E445E4">
        <w:rPr>
          <w:rFonts w:ascii="Times New Roman" w:hAnsi="Times New Roman" w:cs="Times New Roman"/>
          <w:color w:val="000000" w:themeColor="text1"/>
        </w:rPr>
        <w:t>„</w:t>
      </w:r>
      <w:proofErr w:type="spellStart"/>
      <w:r w:rsidR="00286A86" w:rsidRPr="003D7939">
        <w:rPr>
          <w:rFonts w:ascii="Times New Roman" w:hAnsi="Times New Roman" w:cs="Times New Roman"/>
          <w:b/>
          <w:color w:val="000000" w:themeColor="text1"/>
        </w:rPr>
        <w:t>privity</w:t>
      </w:r>
      <w:proofErr w:type="spellEnd"/>
      <w:r w:rsidR="00286A86" w:rsidRPr="003D7939">
        <w:rPr>
          <w:rFonts w:ascii="Times New Roman" w:hAnsi="Times New Roman" w:cs="Times New Roman"/>
          <w:b/>
          <w:color w:val="000000" w:themeColor="text1"/>
        </w:rPr>
        <w:t xml:space="preserve"> of </w:t>
      </w:r>
      <w:proofErr w:type="spellStart"/>
      <w:r w:rsidR="00286A86" w:rsidRPr="003D7939">
        <w:rPr>
          <w:rFonts w:ascii="Times New Roman" w:hAnsi="Times New Roman" w:cs="Times New Roman"/>
          <w:b/>
          <w:color w:val="000000" w:themeColor="text1"/>
        </w:rPr>
        <w:t>contract</w:t>
      </w:r>
      <w:proofErr w:type="spellEnd"/>
      <w:r w:rsidR="00E445E4">
        <w:rPr>
          <w:rFonts w:ascii="Times New Roman" w:hAnsi="Times New Roman" w:cs="Times New Roman"/>
          <w:b/>
          <w:color w:val="000000" w:themeColor="text1"/>
        </w:rPr>
        <w:t>”</w:t>
      </w:r>
      <w:r w:rsidR="00286A86" w:rsidRPr="003D7939">
        <w:rPr>
          <w:rFonts w:ascii="Times New Roman" w:hAnsi="Times New Roman" w:cs="Times New Roman"/>
          <w:b/>
          <w:color w:val="000000" w:themeColor="text1"/>
        </w:rPr>
        <w:t xml:space="preserve"> doktrínát áttörő jellege</w:t>
      </w:r>
      <w:r w:rsidR="00286A86" w:rsidRPr="003D7939">
        <w:rPr>
          <w:rFonts w:ascii="Times New Roman" w:hAnsi="Times New Roman" w:cs="Times New Roman"/>
          <w:color w:val="000000" w:themeColor="text1"/>
        </w:rPr>
        <w:t xml:space="preserve"> miatt. A dok</w:t>
      </w:r>
      <w:r w:rsidR="00E5111F" w:rsidRPr="003D7939">
        <w:rPr>
          <w:rFonts w:ascii="Times New Roman" w:hAnsi="Times New Roman" w:cs="Times New Roman"/>
          <w:color w:val="000000" w:themeColor="text1"/>
        </w:rPr>
        <w:t>t</w:t>
      </w:r>
      <w:r w:rsidR="00286A86" w:rsidRPr="003D7939">
        <w:rPr>
          <w:rFonts w:ascii="Times New Roman" w:hAnsi="Times New Roman" w:cs="Times New Roman"/>
          <w:color w:val="000000" w:themeColor="text1"/>
        </w:rPr>
        <w:t xml:space="preserve">rína áttörése </w:t>
      </w:r>
      <w:proofErr w:type="gramStart"/>
      <w:r w:rsidR="00286A86" w:rsidRPr="003D7939">
        <w:rPr>
          <w:rFonts w:ascii="Times New Roman" w:hAnsi="Times New Roman" w:cs="Times New Roman"/>
          <w:color w:val="000000" w:themeColor="text1"/>
        </w:rPr>
        <w:t>amiatt</w:t>
      </w:r>
      <w:proofErr w:type="gramEnd"/>
      <w:r w:rsidR="00286A86" w:rsidRPr="003D7939">
        <w:rPr>
          <w:rFonts w:ascii="Times New Roman" w:hAnsi="Times New Roman" w:cs="Times New Roman"/>
          <w:color w:val="000000" w:themeColor="text1"/>
        </w:rPr>
        <w:t xml:space="preserve"> szükségszerű a jogintézmény érvényesüléséhez, mert a termék gyártója és a fogyasztó között nincs szerződéses kapcsolat, a </w:t>
      </w:r>
      <w:r w:rsidR="00286A86" w:rsidRPr="003D7939">
        <w:rPr>
          <w:rFonts w:ascii="Times New Roman" w:hAnsi="Times New Roman" w:cs="Times New Roman"/>
        </w:rPr>
        <w:t>szerződés tárgyát képező szolgáltatás nyújtása a fogyasztóval szerződést kötő forgalmazó kötelezettsége. H</w:t>
      </w:r>
      <w:r w:rsidR="00286A86" w:rsidRPr="003D7939">
        <w:rPr>
          <w:rFonts w:ascii="Times New Roman" w:hAnsi="Times New Roman" w:cs="Times New Roman"/>
          <w:color w:val="000000" w:themeColor="text1"/>
        </w:rPr>
        <w:t xml:space="preserve">a pedig a termék a fogyasztó és forgalmazó reláción kívüli harmadik személynek okoz károkat, úgy még csak a forgalmazóval fennálló szerződéses viszonyról sem beszélhetünk. </w:t>
      </w:r>
    </w:p>
    <w:p w:rsidR="00C56337" w:rsidRDefault="00C56337" w:rsidP="00382356">
      <w:pPr>
        <w:ind w:left="12" w:right="52"/>
        <w:jc w:val="both"/>
        <w:rPr>
          <w:rFonts w:ascii="Times New Roman" w:hAnsi="Times New Roman" w:cs="Times New Roman"/>
          <w:color w:val="000000" w:themeColor="text1"/>
        </w:rPr>
      </w:pPr>
    </w:p>
    <w:p w:rsidR="00FE1E1C" w:rsidRPr="003D7939" w:rsidRDefault="00FE1E1C"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A </w:t>
      </w:r>
      <w:r>
        <w:rPr>
          <w:rFonts w:ascii="Times New Roman" w:hAnsi="Times New Roman" w:cs="Times New Roman"/>
          <w:snapToGrid w:val="0"/>
          <w:color w:val="000000" w:themeColor="text1"/>
        </w:rPr>
        <w:t>termékfelelősség</w:t>
      </w:r>
      <w:r w:rsidRPr="003D7939">
        <w:rPr>
          <w:rFonts w:ascii="Times New Roman" w:hAnsi="Times New Roman" w:cs="Times New Roman"/>
          <w:snapToGrid w:val="0"/>
          <w:color w:val="000000" w:themeColor="text1"/>
        </w:rPr>
        <w:t xml:space="preserve"> </w:t>
      </w:r>
      <w:r w:rsidRPr="003D7939">
        <w:rPr>
          <w:rFonts w:ascii="Times New Roman" w:hAnsi="Times New Roman" w:cs="Times New Roman"/>
          <w:b/>
          <w:snapToGrid w:val="0"/>
          <w:color w:val="000000" w:themeColor="text1"/>
        </w:rPr>
        <w:t>lényege</w:t>
      </w:r>
      <w:r w:rsidRPr="003D7939">
        <w:rPr>
          <w:rFonts w:ascii="Times New Roman" w:hAnsi="Times New Roman" w:cs="Times New Roman"/>
          <w:snapToGrid w:val="0"/>
          <w:color w:val="000000" w:themeColor="text1"/>
        </w:rPr>
        <w:t xml:space="preserve">, hogy </w:t>
      </w:r>
      <w:r w:rsidRPr="003D7939">
        <w:rPr>
          <w:rFonts w:ascii="Times New Roman" w:hAnsi="Times New Roman" w:cs="Times New Roman"/>
        </w:rPr>
        <w:t xml:space="preserve">a fogyasztó védelme érdekében a gyártási folyamatban részt vevő összes </w:t>
      </w:r>
      <w:r w:rsidRPr="003D7939">
        <w:rPr>
          <w:rFonts w:ascii="Times New Roman" w:hAnsi="Times New Roman" w:cs="Times New Roman"/>
          <w:b/>
        </w:rPr>
        <w:t>gyártó felelősséggel tartozzon</w:t>
      </w:r>
      <w:r w:rsidRPr="003D7939">
        <w:rPr>
          <w:rFonts w:ascii="Times New Roman" w:hAnsi="Times New Roman" w:cs="Times New Roman"/>
        </w:rPr>
        <w:t xml:space="preserve">, amennyiben az általuk gyártott </w:t>
      </w:r>
      <w:r w:rsidRPr="003D7939">
        <w:rPr>
          <w:rFonts w:ascii="Times New Roman" w:hAnsi="Times New Roman" w:cs="Times New Roman"/>
          <w:b/>
        </w:rPr>
        <w:t>termék</w:t>
      </w:r>
      <w:r w:rsidRPr="003D7939">
        <w:rPr>
          <w:rFonts w:ascii="Times New Roman" w:hAnsi="Times New Roman" w:cs="Times New Roman"/>
        </w:rPr>
        <w:t xml:space="preserve">, vagy az általuk szállított </w:t>
      </w:r>
      <w:r w:rsidRPr="003D7939">
        <w:rPr>
          <w:rFonts w:ascii="Times New Roman" w:hAnsi="Times New Roman" w:cs="Times New Roman"/>
          <w:b/>
        </w:rPr>
        <w:t>résztermék</w:t>
      </w:r>
      <w:r w:rsidRPr="003D7939">
        <w:rPr>
          <w:rFonts w:ascii="Times New Roman" w:hAnsi="Times New Roman" w:cs="Times New Roman"/>
        </w:rPr>
        <w:t xml:space="preserve"> vagy </w:t>
      </w:r>
      <w:r w:rsidRPr="003D7939">
        <w:rPr>
          <w:rFonts w:ascii="Times New Roman" w:hAnsi="Times New Roman" w:cs="Times New Roman"/>
          <w:b/>
        </w:rPr>
        <w:t>nyersanyag hibás volt és ezzel kárt okoz</w:t>
      </w:r>
      <w:r w:rsidRPr="003D7939">
        <w:rPr>
          <w:rFonts w:ascii="Times New Roman" w:hAnsi="Times New Roman" w:cs="Times New Roman"/>
        </w:rPr>
        <w:t>. Emellett a jogalkotó célja volt, hogy a felelősség kiterjedjen azokra is, akik terméket importálnak, továbbá akik nevük vagy védjegyük feltüntetésével vagy egyéb megkülönböztető jelzéssel magukat gyártónak tüntetik fel, vagy akik olyan terméket szállítanak, amelynek gyártója nem állapítható meg.</w:t>
      </w:r>
    </w:p>
    <w:p w:rsidR="00FE1E1C" w:rsidRPr="003D7939" w:rsidRDefault="00FE1E1C" w:rsidP="00382356">
      <w:pPr>
        <w:ind w:left="12" w:right="52"/>
        <w:jc w:val="both"/>
        <w:rPr>
          <w:rFonts w:ascii="Times New Roman" w:hAnsi="Times New Roman" w:cs="Times New Roman"/>
          <w:snapToGrid w:val="0"/>
          <w:color w:val="000000" w:themeColor="text1"/>
        </w:rPr>
      </w:pPr>
    </w:p>
    <w:p w:rsidR="00FE1E1C" w:rsidRDefault="00FE1E1C"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Mindezeknek megfelelően a termékfelelősség a termékkárért a hibás termék gyártóját terhelő </w:t>
      </w:r>
      <w:r w:rsidRPr="003D7939">
        <w:rPr>
          <w:rFonts w:ascii="Times New Roman" w:hAnsi="Times New Roman" w:cs="Times New Roman"/>
          <w:b/>
          <w:snapToGrid w:val="0"/>
          <w:color w:val="000000" w:themeColor="text1"/>
        </w:rPr>
        <w:t>objektív felelősség</w:t>
      </w:r>
      <w:r w:rsidRPr="003D7939">
        <w:rPr>
          <w:rFonts w:ascii="Times New Roman" w:hAnsi="Times New Roman" w:cs="Times New Roman"/>
          <w:snapToGrid w:val="0"/>
          <w:color w:val="000000" w:themeColor="text1"/>
        </w:rPr>
        <w:t>.</w:t>
      </w:r>
    </w:p>
    <w:p w:rsidR="00382356" w:rsidRPr="003D7939" w:rsidRDefault="00382356" w:rsidP="00382356">
      <w:pPr>
        <w:ind w:left="12" w:right="52"/>
        <w:jc w:val="both"/>
        <w:rPr>
          <w:rFonts w:ascii="Times New Roman" w:hAnsi="Times New Roman" w:cs="Times New Roman"/>
          <w:color w:val="000000" w:themeColor="text1"/>
        </w:rPr>
      </w:pPr>
    </w:p>
    <w:p w:rsidR="00FE1E1C" w:rsidRPr="00596451" w:rsidRDefault="00FE1E1C" w:rsidP="00382356">
      <w:pPr>
        <w:pStyle w:val="Cmsor1"/>
        <w:spacing w:before="0"/>
        <w:rPr>
          <w:rFonts w:ascii="Times New Roman" w:hAnsi="Times New Roman" w:cs="Times New Roman"/>
          <w:color w:val="000000" w:themeColor="text1"/>
          <w:sz w:val="24"/>
          <w:szCs w:val="24"/>
        </w:rPr>
      </w:pPr>
      <w:r w:rsidRPr="00596451">
        <w:rPr>
          <w:rFonts w:ascii="Times New Roman" w:hAnsi="Times New Roman" w:cs="Times New Roman"/>
          <w:color w:val="000000" w:themeColor="text1"/>
          <w:sz w:val="24"/>
          <w:szCs w:val="24"/>
        </w:rPr>
        <w:t>2. A szabályozás előzményei</w:t>
      </w:r>
    </w:p>
    <w:p w:rsidR="00FE1E1C" w:rsidRPr="003D7939" w:rsidRDefault="00FE1E1C" w:rsidP="00382356">
      <w:pPr>
        <w:ind w:left="12" w:right="52"/>
        <w:jc w:val="both"/>
        <w:rPr>
          <w:rFonts w:ascii="Times New Roman" w:hAnsi="Times New Roman" w:cs="Times New Roman"/>
          <w:color w:val="000000" w:themeColor="text1"/>
        </w:rPr>
      </w:pPr>
    </w:p>
    <w:p w:rsidR="00C56337" w:rsidRPr="003D7939" w:rsidRDefault="00B0680D"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A 19. századi </w:t>
      </w:r>
      <w:r w:rsidRPr="003D7939">
        <w:rPr>
          <w:rFonts w:ascii="Times New Roman" w:hAnsi="Times New Roman" w:cs="Times New Roman"/>
          <w:b/>
          <w:color w:val="000000" w:themeColor="text1"/>
        </w:rPr>
        <w:t>amerikai bírói joggyakorlat</w:t>
      </w:r>
      <w:r w:rsidRPr="003D7939">
        <w:rPr>
          <w:rFonts w:ascii="Times New Roman" w:hAnsi="Times New Roman" w:cs="Times New Roman"/>
          <w:color w:val="000000" w:themeColor="text1"/>
        </w:rPr>
        <w:t xml:space="preserve"> - szűk kivételekkel - azt az egységes álláspontot képviselte, hogy a gyártók csak a velük közvetlenül szerződéses kapcsolatban álló partnereik irányába felelnek. A </w:t>
      </w:r>
      <w:r w:rsidR="00E445E4">
        <w:rPr>
          <w:rFonts w:ascii="Times New Roman" w:hAnsi="Times New Roman" w:cs="Times New Roman"/>
          <w:color w:val="000000" w:themeColor="text1"/>
        </w:rPr>
        <w:t>„</w:t>
      </w:r>
      <w:proofErr w:type="spellStart"/>
      <w:r w:rsidRPr="003D7939">
        <w:rPr>
          <w:rFonts w:ascii="Times New Roman" w:hAnsi="Times New Roman" w:cs="Times New Roman"/>
          <w:color w:val="000000" w:themeColor="text1"/>
        </w:rPr>
        <w:t>privity</w:t>
      </w:r>
      <w:proofErr w:type="spellEnd"/>
      <w:r w:rsidRPr="003D7939">
        <w:rPr>
          <w:rFonts w:ascii="Times New Roman" w:hAnsi="Times New Roman" w:cs="Times New Roman"/>
          <w:color w:val="000000" w:themeColor="text1"/>
        </w:rPr>
        <w:t xml:space="preserve"> of </w:t>
      </w:r>
      <w:proofErr w:type="spellStart"/>
      <w:r w:rsidRPr="003D7939">
        <w:rPr>
          <w:rFonts w:ascii="Times New Roman" w:hAnsi="Times New Roman" w:cs="Times New Roman"/>
          <w:color w:val="000000" w:themeColor="text1"/>
        </w:rPr>
        <w:lastRenderedPageBreak/>
        <w:t>contract</w:t>
      </w:r>
      <w:proofErr w:type="spellEnd"/>
      <w:r w:rsidR="00E445E4">
        <w:rPr>
          <w:rFonts w:ascii="Times New Roman" w:hAnsi="Times New Roman" w:cs="Times New Roman"/>
          <w:color w:val="000000" w:themeColor="text1"/>
        </w:rPr>
        <w:t>”</w:t>
      </w:r>
      <w:r w:rsidRPr="003D7939">
        <w:rPr>
          <w:rFonts w:ascii="Times New Roman" w:hAnsi="Times New Roman" w:cs="Times New Roman"/>
          <w:color w:val="000000" w:themeColor="text1"/>
        </w:rPr>
        <w:t xml:space="preserve"> doktrína áttörésének </w:t>
      </w:r>
      <w:r w:rsidR="00C56337" w:rsidRPr="003D7939">
        <w:rPr>
          <w:rFonts w:ascii="Times New Roman" w:hAnsi="Times New Roman" w:cs="Times New Roman"/>
          <w:b/>
          <w:color w:val="000000" w:themeColor="text1"/>
        </w:rPr>
        <w:t>korai példája</w:t>
      </w:r>
      <w:r w:rsidR="00C56337" w:rsidRPr="003D7939">
        <w:rPr>
          <w:rFonts w:ascii="Times New Roman" w:hAnsi="Times New Roman" w:cs="Times New Roman"/>
          <w:color w:val="000000" w:themeColor="text1"/>
        </w:rPr>
        <w:t xml:space="preserve"> az 1916-os </w:t>
      </w:r>
      <w:proofErr w:type="spellStart"/>
      <w:r w:rsidR="00C56337" w:rsidRPr="003D7939">
        <w:rPr>
          <w:rFonts w:ascii="Times New Roman" w:hAnsi="Times New Roman" w:cs="Times New Roman"/>
          <w:b/>
          <w:color w:val="000000" w:themeColor="text1"/>
        </w:rPr>
        <w:t>MacPherson</w:t>
      </w:r>
      <w:proofErr w:type="spellEnd"/>
      <w:r w:rsidR="00C56337" w:rsidRPr="003D7939">
        <w:rPr>
          <w:rFonts w:ascii="Times New Roman" w:hAnsi="Times New Roman" w:cs="Times New Roman"/>
          <w:color w:val="000000" w:themeColor="text1"/>
        </w:rPr>
        <w:t xml:space="preserve"> </w:t>
      </w:r>
      <w:r w:rsidR="00C56337" w:rsidRPr="003D7939">
        <w:rPr>
          <w:rFonts w:ascii="Times New Roman" w:hAnsi="Times New Roman" w:cs="Times New Roman"/>
          <w:b/>
          <w:color w:val="000000" w:themeColor="text1"/>
        </w:rPr>
        <w:t>kontra</w:t>
      </w:r>
      <w:r w:rsidR="00C56337" w:rsidRPr="003D7939">
        <w:rPr>
          <w:rFonts w:ascii="Times New Roman" w:hAnsi="Times New Roman" w:cs="Times New Roman"/>
          <w:color w:val="000000" w:themeColor="text1"/>
        </w:rPr>
        <w:t xml:space="preserve"> </w:t>
      </w:r>
      <w:proofErr w:type="spellStart"/>
      <w:r w:rsidR="00C56337" w:rsidRPr="003D7939">
        <w:rPr>
          <w:rFonts w:ascii="Times New Roman" w:hAnsi="Times New Roman" w:cs="Times New Roman"/>
          <w:b/>
          <w:color w:val="000000" w:themeColor="text1"/>
        </w:rPr>
        <w:t>Buick</w:t>
      </w:r>
      <w:proofErr w:type="spellEnd"/>
      <w:r w:rsidR="00C56337" w:rsidRPr="003D7939">
        <w:rPr>
          <w:rFonts w:ascii="Times New Roman" w:hAnsi="Times New Roman" w:cs="Times New Roman"/>
          <w:b/>
          <w:color w:val="000000" w:themeColor="text1"/>
        </w:rPr>
        <w:t xml:space="preserve"> Motor Co.</w:t>
      </w:r>
      <w:r w:rsidR="00C56337" w:rsidRPr="003D7939">
        <w:rPr>
          <w:rFonts w:ascii="Times New Roman" w:hAnsi="Times New Roman" w:cs="Times New Roman"/>
          <w:color w:val="000000" w:themeColor="text1"/>
        </w:rPr>
        <w:t xml:space="preserve"> döntés volt, röviddel az után, hogy a gépjárművek első ízben megjelentek az Egyesület Államok újain. Az eljárás tárgyát képező ügyben a gépjármű tulajdonosa közúti balesetet szenvedett egy hibás kerék miatt. Az eljárás során megállapítást nyert, hogy a gyártó elmulasztotta </w:t>
      </w:r>
      <w:r w:rsidR="00534C70" w:rsidRPr="003D7939">
        <w:rPr>
          <w:rFonts w:ascii="Times New Roman" w:hAnsi="Times New Roman" w:cs="Times New Roman"/>
          <w:color w:val="000000" w:themeColor="text1"/>
        </w:rPr>
        <w:t>gondossági kötelezettségének teljesítését</w:t>
      </w:r>
      <w:r w:rsidR="00C56337" w:rsidRPr="003D7939">
        <w:rPr>
          <w:rFonts w:ascii="Times New Roman" w:hAnsi="Times New Roman" w:cs="Times New Roman"/>
          <w:color w:val="000000" w:themeColor="text1"/>
        </w:rPr>
        <w:t xml:space="preserve"> </w:t>
      </w:r>
      <w:r w:rsidR="00534C70" w:rsidRPr="003D7939">
        <w:rPr>
          <w:rFonts w:ascii="Times New Roman" w:hAnsi="Times New Roman" w:cs="Times New Roman"/>
          <w:color w:val="000000" w:themeColor="text1"/>
        </w:rPr>
        <w:t>a kerék szükséges vizsgálat</w:t>
      </w:r>
      <w:r w:rsidR="008361FE" w:rsidRPr="003D7939">
        <w:rPr>
          <w:rFonts w:ascii="Times New Roman" w:hAnsi="Times New Roman" w:cs="Times New Roman"/>
          <w:color w:val="000000" w:themeColor="text1"/>
        </w:rPr>
        <w:t xml:space="preserve">ai </w:t>
      </w:r>
      <w:r w:rsidR="00534C70" w:rsidRPr="003D7939">
        <w:rPr>
          <w:rFonts w:ascii="Times New Roman" w:hAnsi="Times New Roman" w:cs="Times New Roman"/>
          <w:color w:val="000000" w:themeColor="text1"/>
        </w:rPr>
        <w:t>elvégzését illetően. Ennek volt köszönhető az</w:t>
      </w:r>
      <w:r w:rsidRPr="003D7939">
        <w:rPr>
          <w:rFonts w:ascii="Times New Roman" w:hAnsi="Times New Roman" w:cs="Times New Roman"/>
          <w:color w:val="000000" w:themeColor="text1"/>
        </w:rPr>
        <w:t xml:space="preserve"> is</w:t>
      </w:r>
      <w:r w:rsidR="00534C70" w:rsidRPr="003D7939">
        <w:rPr>
          <w:rFonts w:ascii="Times New Roman" w:hAnsi="Times New Roman" w:cs="Times New Roman"/>
          <w:color w:val="000000" w:themeColor="text1"/>
        </w:rPr>
        <w:t xml:space="preserve">, hogy a kereskedő, aki </w:t>
      </w:r>
      <w:r w:rsidRPr="003D7939">
        <w:rPr>
          <w:rFonts w:ascii="Times New Roman" w:hAnsi="Times New Roman" w:cs="Times New Roman"/>
          <w:color w:val="000000" w:themeColor="text1"/>
        </w:rPr>
        <w:t xml:space="preserve">egyébként </w:t>
      </w:r>
      <w:r w:rsidR="00534C70" w:rsidRPr="003D7939">
        <w:rPr>
          <w:rFonts w:ascii="Times New Roman" w:hAnsi="Times New Roman" w:cs="Times New Roman"/>
          <w:color w:val="000000" w:themeColor="text1"/>
        </w:rPr>
        <w:t xml:space="preserve">a gépjárművet eladta </w:t>
      </w:r>
      <w:proofErr w:type="spellStart"/>
      <w:r w:rsidR="00534C70" w:rsidRPr="003D7939">
        <w:rPr>
          <w:rFonts w:ascii="Times New Roman" w:hAnsi="Times New Roman" w:cs="Times New Roman"/>
          <w:color w:val="000000" w:themeColor="text1"/>
        </w:rPr>
        <w:t>MacPhersonnak</w:t>
      </w:r>
      <w:proofErr w:type="spellEnd"/>
      <w:r w:rsidR="00534C70" w:rsidRPr="003D7939">
        <w:rPr>
          <w:rFonts w:ascii="Times New Roman" w:hAnsi="Times New Roman" w:cs="Times New Roman"/>
          <w:color w:val="000000" w:themeColor="text1"/>
        </w:rPr>
        <w:t xml:space="preserve"> szavatossági felelősséggel tartozott a </w:t>
      </w:r>
      <w:r w:rsidRPr="003D7939">
        <w:rPr>
          <w:rFonts w:ascii="Times New Roman" w:hAnsi="Times New Roman" w:cs="Times New Roman"/>
          <w:color w:val="000000" w:themeColor="text1"/>
        </w:rPr>
        <w:t xml:space="preserve">termék </w:t>
      </w:r>
      <w:r w:rsidR="00534C70" w:rsidRPr="003D7939">
        <w:rPr>
          <w:rFonts w:ascii="Times New Roman" w:hAnsi="Times New Roman" w:cs="Times New Roman"/>
          <w:color w:val="000000" w:themeColor="text1"/>
        </w:rPr>
        <w:t>hib</w:t>
      </w:r>
      <w:r w:rsidRPr="003D7939">
        <w:rPr>
          <w:rFonts w:ascii="Times New Roman" w:hAnsi="Times New Roman" w:cs="Times New Roman"/>
          <w:color w:val="000000" w:themeColor="text1"/>
        </w:rPr>
        <w:t>ája</w:t>
      </w:r>
      <w:r w:rsidR="00534C70" w:rsidRPr="003D7939">
        <w:rPr>
          <w:rFonts w:ascii="Times New Roman" w:hAnsi="Times New Roman" w:cs="Times New Roman"/>
          <w:color w:val="000000" w:themeColor="text1"/>
        </w:rPr>
        <w:t xml:space="preserve"> miatt. Kérdésessé vált azonban, hogy a </w:t>
      </w:r>
      <w:proofErr w:type="spellStart"/>
      <w:r w:rsidR="00534C70" w:rsidRPr="003D7939">
        <w:rPr>
          <w:rFonts w:ascii="Times New Roman" w:hAnsi="Times New Roman" w:cs="Times New Roman"/>
          <w:color w:val="000000" w:themeColor="text1"/>
        </w:rPr>
        <w:t>Buick-ot</w:t>
      </w:r>
      <w:proofErr w:type="spellEnd"/>
      <w:r w:rsidR="00534C70" w:rsidRPr="003D7939">
        <w:rPr>
          <w:rFonts w:ascii="Times New Roman" w:hAnsi="Times New Roman" w:cs="Times New Roman"/>
          <w:color w:val="000000" w:themeColor="text1"/>
        </w:rPr>
        <w:t xml:space="preserve"> terheli-e egy ilyen esetben bármilyen kötelezettséggel közvetlenül </w:t>
      </w:r>
      <w:proofErr w:type="spellStart"/>
      <w:r w:rsidR="00534C70" w:rsidRPr="003D7939">
        <w:rPr>
          <w:rFonts w:ascii="Times New Roman" w:hAnsi="Times New Roman" w:cs="Times New Roman"/>
          <w:color w:val="000000" w:themeColor="text1"/>
        </w:rPr>
        <w:t>MacPherson</w:t>
      </w:r>
      <w:proofErr w:type="spellEnd"/>
      <w:r w:rsidR="00534C70" w:rsidRPr="003D7939">
        <w:rPr>
          <w:rFonts w:ascii="Times New Roman" w:hAnsi="Times New Roman" w:cs="Times New Roman"/>
          <w:color w:val="000000" w:themeColor="text1"/>
        </w:rPr>
        <w:t xml:space="preserve"> irányába. </w:t>
      </w:r>
      <w:r w:rsidRPr="003D7939">
        <w:rPr>
          <w:rFonts w:ascii="Times New Roman" w:hAnsi="Times New Roman" w:cs="Times New Roman"/>
          <w:color w:val="000000" w:themeColor="text1"/>
        </w:rPr>
        <w:t>A</w:t>
      </w:r>
      <w:r w:rsidR="00EB1DBE" w:rsidRPr="003D7939">
        <w:rPr>
          <w:rFonts w:ascii="Times New Roman" w:hAnsi="Times New Roman" w:cs="Times New Roman"/>
          <w:color w:val="000000" w:themeColor="text1"/>
        </w:rPr>
        <w:t xml:space="preserve"> tárgybeli ügyben az eljárt bíróság </w:t>
      </w:r>
      <w:r w:rsidRPr="003D7939">
        <w:rPr>
          <w:rFonts w:ascii="Times New Roman" w:hAnsi="Times New Roman" w:cs="Times New Roman"/>
          <w:color w:val="000000" w:themeColor="text1"/>
        </w:rPr>
        <w:t xml:space="preserve">végső soron </w:t>
      </w:r>
      <w:r w:rsidR="00EB1DBE" w:rsidRPr="003D7939">
        <w:rPr>
          <w:rFonts w:ascii="Times New Roman" w:hAnsi="Times New Roman" w:cs="Times New Roman"/>
          <w:color w:val="000000" w:themeColor="text1"/>
        </w:rPr>
        <w:t>az eredendően veszélyes termékek korábbi koncepcióját</w:t>
      </w:r>
      <w:r w:rsidRPr="003D7939">
        <w:rPr>
          <w:rFonts w:ascii="Times New Roman" w:hAnsi="Times New Roman" w:cs="Times New Roman"/>
          <w:color w:val="000000" w:themeColor="text1"/>
        </w:rPr>
        <w:t xml:space="preserve">ól </w:t>
      </w:r>
      <w:proofErr w:type="gramStart"/>
      <w:r w:rsidRPr="003D7939">
        <w:rPr>
          <w:rFonts w:ascii="Times New Roman" w:hAnsi="Times New Roman" w:cs="Times New Roman"/>
          <w:color w:val="000000" w:themeColor="text1"/>
        </w:rPr>
        <w:t>eltér</w:t>
      </w:r>
      <w:r w:rsidR="00B35568" w:rsidRPr="003D7939">
        <w:rPr>
          <w:rFonts w:ascii="Times New Roman" w:hAnsi="Times New Roman" w:cs="Times New Roman"/>
          <w:color w:val="000000" w:themeColor="text1"/>
        </w:rPr>
        <w:t>t</w:t>
      </w:r>
      <w:r w:rsidR="00B35568" w:rsidRPr="003D7939">
        <w:rPr>
          <w:rStyle w:val="Lbjegyzet-hivatkozs"/>
          <w:rFonts w:ascii="Times New Roman" w:hAnsi="Times New Roman" w:cs="Times New Roman"/>
          <w:color w:val="000000" w:themeColor="text1"/>
        </w:rPr>
        <w:footnoteReference w:id="1"/>
      </w:r>
      <w:r w:rsidRPr="003D7939">
        <w:rPr>
          <w:rFonts w:ascii="Times New Roman" w:hAnsi="Times New Roman" w:cs="Times New Roman"/>
          <w:color w:val="000000" w:themeColor="text1"/>
        </w:rPr>
        <w:t>,</w:t>
      </w:r>
      <w:proofErr w:type="gramEnd"/>
      <w:r w:rsidRPr="003D7939">
        <w:rPr>
          <w:rFonts w:ascii="Times New Roman" w:hAnsi="Times New Roman" w:cs="Times New Roman"/>
          <w:color w:val="000000" w:themeColor="text1"/>
        </w:rPr>
        <w:t xml:space="preserve"> mintegy kiterjesztve a gyártói felelősség körét</w:t>
      </w:r>
      <w:r w:rsidR="00EB1DBE" w:rsidRPr="003D7939">
        <w:rPr>
          <w:rFonts w:ascii="Times New Roman" w:hAnsi="Times New Roman" w:cs="Times New Roman"/>
          <w:color w:val="000000" w:themeColor="text1"/>
        </w:rPr>
        <w:t xml:space="preserve"> az autógyárat marasztalta el</w:t>
      </w:r>
      <w:r w:rsidRPr="003D7939">
        <w:rPr>
          <w:rFonts w:ascii="Times New Roman" w:hAnsi="Times New Roman" w:cs="Times New Roman"/>
          <w:color w:val="000000" w:themeColor="text1"/>
        </w:rPr>
        <w:t xml:space="preserve"> a hibás konstrukció okozta károk miatt</w:t>
      </w:r>
      <w:r w:rsidR="00FA4F03" w:rsidRPr="003D7939">
        <w:rPr>
          <w:rStyle w:val="Lbjegyzet-hivatkozs"/>
          <w:rFonts w:ascii="Times New Roman" w:hAnsi="Times New Roman" w:cs="Times New Roman"/>
          <w:color w:val="000000" w:themeColor="text1"/>
        </w:rPr>
        <w:footnoteReference w:id="2"/>
      </w:r>
      <w:r w:rsidRPr="003D7939">
        <w:rPr>
          <w:rFonts w:ascii="Times New Roman" w:hAnsi="Times New Roman" w:cs="Times New Roman"/>
          <w:color w:val="000000" w:themeColor="text1"/>
        </w:rPr>
        <w:t>.</w:t>
      </w:r>
      <w:r w:rsidR="00E0403F" w:rsidRPr="003D7939">
        <w:rPr>
          <w:rFonts w:ascii="Times New Roman" w:hAnsi="Times New Roman" w:cs="Times New Roman"/>
          <w:color w:val="000000" w:themeColor="text1"/>
        </w:rPr>
        <w:t xml:space="preserve"> </w:t>
      </w:r>
    </w:p>
    <w:p w:rsidR="00286A86" w:rsidRPr="003D7939" w:rsidRDefault="00286A86" w:rsidP="00382356">
      <w:pPr>
        <w:ind w:left="12" w:right="52"/>
        <w:jc w:val="both"/>
        <w:rPr>
          <w:rFonts w:ascii="Times New Roman" w:hAnsi="Times New Roman" w:cs="Times New Roman"/>
          <w:color w:val="000000" w:themeColor="text1"/>
        </w:rPr>
      </w:pPr>
    </w:p>
    <w:p w:rsidR="00FA4F03" w:rsidRPr="003D7939" w:rsidRDefault="00534C70" w:rsidP="00382356">
      <w:pPr>
        <w:jc w:val="both"/>
        <w:rPr>
          <w:rStyle w:val="apple-style-span"/>
          <w:rFonts w:ascii="Times New Roman" w:hAnsi="Times New Roman" w:cs="Times New Roman"/>
          <w:color w:val="000000"/>
        </w:rPr>
      </w:pPr>
      <w:r w:rsidRPr="003D7939">
        <w:rPr>
          <w:rFonts w:ascii="Times New Roman" w:hAnsi="Times New Roman" w:cs="Times New Roman"/>
        </w:rPr>
        <w:t>A</w:t>
      </w:r>
      <w:r w:rsidR="00B0680D" w:rsidRPr="003D7939">
        <w:rPr>
          <w:rFonts w:ascii="Times New Roman" w:hAnsi="Times New Roman" w:cs="Times New Roman"/>
        </w:rPr>
        <w:t xml:space="preserve">z európai joggyakorlatokat áttekintve </w:t>
      </w:r>
      <w:r w:rsidR="00FA4F03" w:rsidRPr="003D7939">
        <w:rPr>
          <w:rFonts w:ascii="Times New Roman" w:hAnsi="Times New Roman" w:cs="Times New Roman"/>
        </w:rPr>
        <w:t>az</w:t>
      </w:r>
      <w:r w:rsidR="00FA4F03" w:rsidRPr="003D7939">
        <w:rPr>
          <w:rFonts w:ascii="Times New Roman" w:hAnsi="Times New Roman" w:cs="Times New Roman"/>
          <w:color w:val="000000"/>
        </w:rPr>
        <w:t xml:space="preserve"> </w:t>
      </w:r>
      <w:r w:rsidR="00B3647A" w:rsidRPr="003D7939">
        <w:rPr>
          <w:rFonts w:ascii="Times New Roman" w:hAnsi="Times New Roman" w:cs="Times New Roman"/>
          <w:color w:val="000000"/>
        </w:rPr>
        <w:t xml:space="preserve">1932-es </w:t>
      </w:r>
      <w:r w:rsidR="00A16E88" w:rsidRPr="003D7939">
        <w:rPr>
          <w:rFonts w:ascii="Times New Roman" w:hAnsi="Times New Roman" w:cs="Times New Roman"/>
          <w:b/>
          <w:color w:val="000000"/>
        </w:rPr>
        <w:t>angol</w:t>
      </w:r>
      <w:r w:rsidR="00FA4F03" w:rsidRPr="003D7939">
        <w:rPr>
          <w:rFonts w:ascii="Times New Roman" w:hAnsi="Times New Roman" w:cs="Times New Roman"/>
          <w:color w:val="000000"/>
        </w:rPr>
        <w:t xml:space="preserve"> </w:t>
      </w:r>
      <w:proofErr w:type="spellStart"/>
      <w:r w:rsidR="00B3647A" w:rsidRPr="003D7939">
        <w:rPr>
          <w:rStyle w:val="apple-style-span"/>
          <w:rFonts w:ascii="Times New Roman" w:hAnsi="Times New Roman" w:cs="Times New Roman"/>
          <w:b/>
          <w:color w:val="000000"/>
        </w:rPr>
        <w:t>Donoghue-McElister</w:t>
      </w:r>
      <w:proofErr w:type="spellEnd"/>
      <w:r w:rsidR="00B3647A" w:rsidRPr="003D7939">
        <w:rPr>
          <w:rStyle w:val="apple-style-span"/>
          <w:rFonts w:ascii="Times New Roman" w:hAnsi="Times New Roman" w:cs="Times New Roman"/>
          <w:b/>
          <w:color w:val="000000"/>
        </w:rPr>
        <w:t xml:space="preserve">  </w:t>
      </w:r>
      <w:r w:rsidR="00FA4F03" w:rsidRPr="003D7939">
        <w:rPr>
          <w:rStyle w:val="apple-style-span"/>
          <w:rFonts w:ascii="Times New Roman" w:hAnsi="Times New Roman" w:cs="Times New Roman"/>
          <w:b/>
          <w:color w:val="000000"/>
        </w:rPr>
        <w:t>kontra</w:t>
      </w:r>
      <w:r w:rsidR="00B3647A" w:rsidRPr="003D7939">
        <w:rPr>
          <w:rStyle w:val="apple-style-span"/>
          <w:rFonts w:ascii="Times New Roman" w:hAnsi="Times New Roman" w:cs="Times New Roman"/>
          <w:b/>
          <w:color w:val="000000"/>
        </w:rPr>
        <w:t xml:space="preserve"> </w:t>
      </w:r>
      <w:proofErr w:type="spellStart"/>
      <w:r w:rsidR="00B3647A" w:rsidRPr="003D7939">
        <w:rPr>
          <w:rStyle w:val="apple-style-span"/>
          <w:rFonts w:ascii="Times New Roman" w:hAnsi="Times New Roman" w:cs="Times New Roman"/>
          <w:b/>
          <w:color w:val="000000"/>
        </w:rPr>
        <w:t>Stevhenson</w:t>
      </w:r>
      <w:proofErr w:type="spellEnd"/>
      <w:r w:rsidR="00B3647A" w:rsidRPr="003D7939">
        <w:rPr>
          <w:rStyle w:val="apple-style-span"/>
          <w:rFonts w:ascii="Times New Roman" w:hAnsi="Times New Roman" w:cs="Times New Roman"/>
          <w:color w:val="000000"/>
        </w:rPr>
        <w:t xml:space="preserve"> ügy</w:t>
      </w:r>
      <w:r w:rsidR="00FA4F03" w:rsidRPr="003D7939">
        <w:rPr>
          <w:rStyle w:val="apple-style-span"/>
          <w:rFonts w:ascii="Times New Roman" w:hAnsi="Times New Roman" w:cs="Times New Roman"/>
          <w:color w:val="000000"/>
        </w:rPr>
        <w:t xml:space="preserve">et érdemes kiemelni. May </w:t>
      </w:r>
      <w:proofErr w:type="spellStart"/>
      <w:r w:rsidR="00FA4F03" w:rsidRPr="003D7939">
        <w:rPr>
          <w:rStyle w:val="apple-style-span"/>
          <w:rFonts w:ascii="Times New Roman" w:hAnsi="Times New Roman" w:cs="Times New Roman"/>
          <w:color w:val="000000"/>
        </w:rPr>
        <w:t>Donoghue</w:t>
      </w:r>
      <w:proofErr w:type="spellEnd"/>
      <w:r w:rsidR="00FA4F03" w:rsidRPr="003D7939">
        <w:rPr>
          <w:rStyle w:val="apple-style-span"/>
          <w:rFonts w:ascii="Times New Roman" w:hAnsi="Times New Roman" w:cs="Times New Roman"/>
          <w:color w:val="000000"/>
        </w:rPr>
        <w:t xml:space="preserve"> egy elpusztult csigával szennyezett gyömbérsor okozta </w:t>
      </w:r>
      <w:proofErr w:type="gramStart"/>
      <w:r w:rsidR="00FA4F03" w:rsidRPr="003D7939">
        <w:rPr>
          <w:rStyle w:val="apple-style-span"/>
          <w:rFonts w:ascii="Times New Roman" w:hAnsi="Times New Roman" w:cs="Times New Roman"/>
          <w:color w:val="000000"/>
        </w:rPr>
        <w:t xml:space="preserve">gyomorfertőzése </w:t>
      </w:r>
      <w:r w:rsidR="00B3647A" w:rsidRPr="003D7939">
        <w:rPr>
          <w:rStyle w:val="apple-style-span"/>
          <w:rFonts w:ascii="Times New Roman" w:hAnsi="Times New Roman" w:cs="Times New Roman"/>
          <w:color w:val="000000"/>
        </w:rPr>
        <w:t xml:space="preserve"> </w:t>
      </w:r>
      <w:r w:rsidR="00FA4F03" w:rsidRPr="003D7939">
        <w:rPr>
          <w:rStyle w:val="apple-style-span"/>
          <w:rFonts w:ascii="Times New Roman" w:hAnsi="Times New Roman" w:cs="Times New Roman"/>
          <w:color w:val="000000"/>
        </w:rPr>
        <w:t>miatti</w:t>
      </w:r>
      <w:proofErr w:type="gramEnd"/>
      <w:r w:rsidR="00FA4F03" w:rsidRPr="003D7939">
        <w:rPr>
          <w:rStyle w:val="apple-style-span"/>
          <w:rFonts w:ascii="Times New Roman" w:hAnsi="Times New Roman" w:cs="Times New Roman"/>
          <w:color w:val="000000"/>
        </w:rPr>
        <w:t xml:space="preserve"> kártérítési igényeit kívánta érvényesíteni. Az ügyben az ún. </w:t>
      </w:r>
      <w:r w:rsidR="00B3647A" w:rsidRPr="003D7939">
        <w:rPr>
          <w:rStyle w:val="apple-style-span"/>
          <w:rFonts w:ascii="Times New Roman" w:hAnsi="Times New Roman" w:cs="Times New Roman"/>
          <w:color w:val="000000"/>
        </w:rPr>
        <w:t>“</w:t>
      </w:r>
      <w:proofErr w:type="spellStart"/>
      <w:r w:rsidR="00B3647A" w:rsidRPr="003D7939">
        <w:rPr>
          <w:rStyle w:val="apple-style-span"/>
          <w:rFonts w:ascii="Times New Roman" w:hAnsi="Times New Roman" w:cs="Times New Roman"/>
          <w:color w:val="000000"/>
        </w:rPr>
        <w:t>neighbour</w:t>
      </w:r>
      <w:proofErr w:type="spellEnd"/>
      <w:r w:rsidR="00B3647A" w:rsidRPr="003D7939">
        <w:rPr>
          <w:rStyle w:val="apple-style-span"/>
          <w:rFonts w:ascii="Times New Roman" w:hAnsi="Times New Roman" w:cs="Times New Roman"/>
          <w:color w:val="000000"/>
        </w:rPr>
        <w:t xml:space="preserve"> </w:t>
      </w:r>
      <w:proofErr w:type="spellStart"/>
      <w:r w:rsidR="00B3647A" w:rsidRPr="003D7939">
        <w:rPr>
          <w:rStyle w:val="apple-style-span"/>
          <w:rFonts w:ascii="Times New Roman" w:hAnsi="Times New Roman" w:cs="Times New Roman"/>
          <w:color w:val="000000"/>
        </w:rPr>
        <w:t>principle</w:t>
      </w:r>
      <w:proofErr w:type="spellEnd"/>
      <w:r w:rsidR="00B3647A" w:rsidRPr="003D7939">
        <w:rPr>
          <w:rStyle w:val="apple-style-span"/>
          <w:rFonts w:ascii="Times New Roman" w:hAnsi="Times New Roman" w:cs="Times New Roman"/>
          <w:color w:val="000000"/>
        </w:rPr>
        <w:t xml:space="preserve">” </w:t>
      </w:r>
      <w:r w:rsidR="00FA4F03" w:rsidRPr="003D7939">
        <w:rPr>
          <w:rStyle w:val="apple-style-span"/>
          <w:rFonts w:ascii="Times New Roman" w:hAnsi="Times New Roman" w:cs="Times New Roman"/>
          <w:color w:val="000000"/>
        </w:rPr>
        <w:t xml:space="preserve">alapján került levezetésre, hogy a </w:t>
      </w:r>
      <w:r w:rsidR="00B3647A" w:rsidRPr="003D7939">
        <w:rPr>
          <w:rStyle w:val="apple-style-span"/>
          <w:rFonts w:ascii="Times New Roman" w:hAnsi="Times New Roman" w:cs="Times New Roman"/>
          <w:color w:val="000000"/>
        </w:rPr>
        <w:t>termék gyártójának kötelessége a fogyasztót az elvárható gondossággal óv</w:t>
      </w:r>
      <w:r w:rsidR="00FA4F03" w:rsidRPr="003D7939">
        <w:rPr>
          <w:rStyle w:val="apple-style-span"/>
          <w:rFonts w:ascii="Times New Roman" w:hAnsi="Times New Roman" w:cs="Times New Roman"/>
          <w:color w:val="000000"/>
        </w:rPr>
        <w:t>ni</w:t>
      </w:r>
      <w:r w:rsidR="00B3647A" w:rsidRPr="003D7939">
        <w:rPr>
          <w:rStyle w:val="apple-style-span"/>
          <w:rFonts w:ascii="Times New Roman" w:hAnsi="Times New Roman" w:cs="Times New Roman"/>
          <w:color w:val="000000"/>
        </w:rPr>
        <w:t xml:space="preserve"> az életét-testi egészségét veszélyeztető tényezők bekövetkeztétő</w:t>
      </w:r>
      <w:r w:rsidR="00FA4F03" w:rsidRPr="003D7939">
        <w:rPr>
          <w:rStyle w:val="apple-style-span"/>
          <w:rFonts w:ascii="Times New Roman" w:hAnsi="Times New Roman" w:cs="Times New Roman"/>
          <w:color w:val="000000"/>
        </w:rPr>
        <w:t>l, amelynek</w:t>
      </w:r>
      <w:r w:rsidR="00B3647A" w:rsidRPr="003D7939">
        <w:rPr>
          <w:rStyle w:val="apple-style-span"/>
          <w:rFonts w:ascii="Times New Roman" w:hAnsi="Times New Roman" w:cs="Times New Roman"/>
          <w:color w:val="000000"/>
        </w:rPr>
        <w:t xml:space="preserve"> elm</w:t>
      </w:r>
      <w:r w:rsidR="00FA4F03" w:rsidRPr="003D7939">
        <w:rPr>
          <w:rStyle w:val="apple-style-span"/>
          <w:rFonts w:ascii="Times New Roman" w:hAnsi="Times New Roman" w:cs="Times New Roman"/>
          <w:color w:val="000000"/>
        </w:rPr>
        <w:t>ulasztása</w:t>
      </w:r>
      <w:r w:rsidR="00B3647A" w:rsidRPr="003D7939">
        <w:rPr>
          <w:rStyle w:val="apple-style-span"/>
          <w:rFonts w:ascii="Times New Roman" w:hAnsi="Times New Roman" w:cs="Times New Roman"/>
          <w:color w:val="000000"/>
        </w:rPr>
        <w:t xml:space="preserve"> esetén felelősséggel tartozik a </w:t>
      </w:r>
      <w:r w:rsidR="00FA4F03" w:rsidRPr="003D7939">
        <w:rPr>
          <w:rStyle w:val="apple-style-span"/>
          <w:rFonts w:ascii="Times New Roman" w:hAnsi="Times New Roman" w:cs="Times New Roman"/>
          <w:color w:val="000000"/>
        </w:rPr>
        <w:t>termék okozta károk</w:t>
      </w:r>
      <w:r w:rsidR="00B3647A" w:rsidRPr="003D7939">
        <w:rPr>
          <w:rStyle w:val="apple-style-span"/>
          <w:rFonts w:ascii="Times New Roman" w:hAnsi="Times New Roman" w:cs="Times New Roman"/>
          <w:color w:val="000000"/>
        </w:rPr>
        <w:t>é</w:t>
      </w:r>
      <w:r w:rsidR="00FA4F03" w:rsidRPr="003D7939">
        <w:rPr>
          <w:rStyle w:val="apple-style-span"/>
          <w:rFonts w:ascii="Times New Roman" w:hAnsi="Times New Roman" w:cs="Times New Roman"/>
          <w:color w:val="000000"/>
        </w:rPr>
        <w:t>rt</w:t>
      </w:r>
      <w:r w:rsidR="00B3647A" w:rsidRPr="003D7939">
        <w:rPr>
          <w:rStyle w:val="apple-style-span"/>
          <w:rFonts w:ascii="Times New Roman" w:hAnsi="Times New Roman" w:cs="Times New Roman"/>
          <w:color w:val="000000"/>
        </w:rPr>
        <w:t>.</w:t>
      </w:r>
    </w:p>
    <w:p w:rsidR="00745AA4" w:rsidRPr="003D7939" w:rsidRDefault="00745AA4" w:rsidP="00382356">
      <w:pPr>
        <w:jc w:val="both"/>
        <w:rPr>
          <w:rFonts w:ascii="Times New Roman" w:hAnsi="Times New Roman" w:cs="Times New Roman"/>
        </w:rPr>
      </w:pPr>
    </w:p>
    <w:p w:rsidR="00FA4F03" w:rsidRPr="003D7939" w:rsidRDefault="00745AA4" w:rsidP="00382356">
      <w:pPr>
        <w:jc w:val="both"/>
        <w:rPr>
          <w:rFonts w:ascii="Times New Roman" w:hAnsi="Times New Roman" w:cs="Times New Roman"/>
          <w:color w:val="000000"/>
        </w:rPr>
      </w:pPr>
      <w:r w:rsidRPr="003D7939">
        <w:rPr>
          <w:rFonts w:ascii="Times New Roman" w:hAnsi="Times New Roman" w:cs="Times New Roman"/>
        </w:rPr>
        <w:t>A</w:t>
      </w:r>
      <w:r w:rsidR="00FA4F03" w:rsidRPr="003D7939">
        <w:rPr>
          <w:rFonts w:ascii="Times New Roman" w:hAnsi="Times New Roman" w:cs="Times New Roman"/>
        </w:rPr>
        <w:t xml:space="preserve"> </w:t>
      </w:r>
      <w:r w:rsidR="00FA4F03" w:rsidRPr="003D7939">
        <w:rPr>
          <w:rFonts w:ascii="Times New Roman" w:hAnsi="Times New Roman" w:cs="Times New Roman"/>
          <w:b/>
        </w:rPr>
        <w:t>német</w:t>
      </w:r>
      <w:r w:rsidR="00FA4F03" w:rsidRPr="003D7939">
        <w:rPr>
          <w:rFonts w:ascii="Times New Roman" w:hAnsi="Times New Roman" w:cs="Times New Roman"/>
        </w:rPr>
        <w:t xml:space="preserve"> jog</w:t>
      </w:r>
      <w:r w:rsidRPr="003D7939">
        <w:rPr>
          <w:rFonts w:ascii="Times New Roman" w:hAnsi="Times New Roman" w:cs="Times New Roman"/>
        </w:rPr>
        <w:t>gyakorlat</w:t>
      </w:r>
      <w:r w:rsidR="00FA4F03" w:rsidRPr="003D7939">
        <w:rPr>
          <w:rFonts w:ascii="Times New Roman" w:hAnsi="Times New Roman" w:cs="Times New Roman"/>
        </w:rPr>
        <w:t xml:space="preserve"> </w:t>
      </w:r>
      <w:r w:rsidRPr="003D7939">
        <w:rPr>
          <w:rFonts w:ascii="Times New Roman" w:hAnsi="Times New Roman" w:cs="Times New Roman"/>
        </w:rPr>
        <w:t xml:space="preserve">- kontinentális jogrendszerbeli példát tekintve - </w:t>
      </w:r>
      <w:r w:rsidR="00FA4F03" w:rsidRPr="003D7939">
        <w:rPr>
          <w:rFonts w:ascii="Times New Roman" w:hAnsi="Times New Roman" w:cs="Times New Roman"/>
        </w:rPr>
        <w:t xml:space="preserve">kezdetektől következetesen foglalt állást a közvetlen gyártói felelősség kérdésében, a vevő a termék hibái miatti igényeit nem érvényesítheti közvetlenül a gyártóval szemben. A termékfelelősség kapcsán a német jogirodalomban gyakran említett ügy </w:t>
      </w:r>
      <w:r w:rsidR="00FA4F03" w:rsidRPr="003D7939">
        <w:rPr>
          <w:rFonts w:ascii="Times New Roman" w:hAnsi="Times New Roman" w:cs="Times New Roman"/>
          <w:b/>
        </w:rPr>
        <w:t>a baromfipestis esete („</w:t>
      </w:r>
      <w:proofErr w:type="spellStart"/>
      <w:r w:rsidR="00FA4F03" w:rsidRPr="003D7939">
        <w:rPr>
          <w:rFonts w:ascii="Times New Roman" w:hAnsi="Times New Roman" w:cs="Times New Roman"/>
          <w:b/>
        </w:rPr>
        <w:t>Hühnerpest-Fall</w:t>
      </w:r>
      <w:proofErr w:type="spellEnd"/>
      <w:r w:rsidR="00FA4F03" w:rsidRPr="003D7939">
        <w:rPr>
          <w:rFonts w:ascii="Times New Roman" w:hAnsi="Times New Roman" w:cs="Times New Roman"/>
          <w:b/>
        </w:rPr>
        <w:t>”)</w:t>
      </w:r>
      <w:r w:rsidR="00FA4F03" w:rsidRPr="003D7939">
        <w:rPr>
          <w:rFonts w:ascii="Times New Roman" w:hAnsi="Times New Roman" w:cs="Times New Roman"/>
        </w:rPr>
        <w:t xml:space="preserve">. 1963. november 19. napján a felperes baromfipestis elleni oltóanyaggal oltatta be baromfiállományát. A néhány nappal később kitört járványban mintegy 4000 baromfi pusztult el, mert az oltóanyag hibás volt. A </w:t>
      </w:r>
      <w:proofErr w:type="spellStart"/>
      <w:r w:rsidR="00FA4F03" w:rsidRPr="003D7939">
        <w:rPr>
          <w:rFonts w:ascii="Times New Roman" w:hAnsi="Times New Roman" w:cs="Times New Roman"/>
        </w:rPr>
        <w:t>Bundesgerichtshof</w:t>
      </w:r>
      <w:proofErr w:type="spellEnd"/>
      <w:r w:rsidR="00FA4F03" w:rsidRPr="003D7939">
        <w:rPr>
          <w:rFonts w:ascii="Times New Roman" w:hAnsi="Times New Roman" w:cs="Times New Roman"/>
        </w:rPr>
        <w:t xml:space="preserve"> előtti ügyben vetődött fel </w:t>
      </w:r>
      <w:r w:rsidR="00FA4F03" w:rsidRPr="003D7939">
        <w:rPr>
          <w:rFonts w:ascii="Times New Roman" w:hAnsi="Times New Roman" w:cs="Times New Roman"/>
        </w:rPr>
        <w:lastRenderedPageBreak/>
        <w:t xml:space="preserve">első ízben koncepcionális jelleggel a közvetlen gyártói felelősség kérdésköre. Az eljárás eredménye annak a következtetésnek a levonása volt, hogy habár a gyártót terheli annak a bizonyítása, hogy a termék kárt okozó hibája nem tőle </w:t>
      </w:r>
      <w:proofErr w:type="gramStart"/>
      <w:r w:rsidR="00FA4F03" w:rsidRPr="003D7939">
        <w:rPr>
          <w:rFonts w:ascii="Times New Roman" w:hAnsi="Times New Roman" w:cs="Times New Roman"/>
        </w:rPr>
        <w:t>ered</w:t>
      </w:r>
      <w:r w:rsidR="00FA4F03" w:rsidRPr="003D7939">
        <w:rPr>
          <w:rStyle w:val="Lbjegyzet-hivatkozs"/>
          <w:rFonts w:ascii="Times New Roman" w:hAnsi="Times New Roman" w:cs="Times New Roman"/>
        </w:rPr>
        <w:footnoteReference w:id="3"/>
      </w:r>
      <w:r w:rsidR="00FA4F03" w:rsidRPr="003D7939">
        <w:rPr>
          <w:rFonts w:ascii="Times New Roman" w:hAnsi="Times New Roman" w:cs="Times New Roman"/>
        </w:rPr>
        <w:t>,</w:t>
      </w:r>
      <w:proofErr w:type="gramEnd"/>
      <w:r w:rsidR="00FA4F03" w:rsidRPr="003D7939">
        <w:rPr>
          <w:rFonts w:ascii="Times New Roman" w:hAnsi="Times New Roman" w:cs="Times New Roman"/>
        </w:rPr>
        <w:t xml:space="preserve"> mindazonáltal a gyártó felelősségének alapja nem a szerződéses jogviszony, hanem </w:t>
      </w:r>
      <w:r w:rsidR="0045200D">
        <w:rPr>
          <w:rFonts w:ascii="Times New Roman" w:hAnsi="Times New Roman" w:cs="Times New Roman"/>
        </w:rPr>
        <w:t>valamely</w:t>
      </w:r>
      <w:r w:rsidR="00FA4F03" w:rsidRPr="003D7939">
        <w:rPr>
          <w:rFonts w:ascii="Times New Roman" w:hAnsi="Times New Roman" w:cs="Times New Roman"/>
        </w:rPr>
        <w:t xml:space="preserve"> szerződés ún. védő hatása</w:t>
      </w:r>
      <w:r w:rsidR="00FA4F03" w:rsidRPr="003D7939">
        <w:rPr>
          <w:rStyle w:val="Lbjegyzet-hivatkozs"/>
          <w:rFonts w:ascii="Times New Roman" w:hAnsi="Times New Roman" w:cs="Times New Roman"/>
        </w:rPr>
        <w:footnoteReference w:id="4"/>
      </w:r>
      <w:r w:rsidR="00FA4F03" w:rsidRPr="003D7939">
        <w:rPr>
          <w:rFonts w:ascii="Times New Roman" w:hAnsi="Times New Roman" w:cs="Times New Roman"/>
        </w:rPr>
        <w:t xml:space="preserve"> (</w:t>
      </w:r>
      <w:r w:rsidR="00FA4F03" w:rsidRPr="00895F93">
        <w:rPr>
          <w:rFonts w:ascii="Times New Roman" w:hAnsi="Times New Roman" w:cs="Times New Roman"/>
          <w:b/>
        </w:rPr>
        <w:t xml:space="preserve">Vertrag mit </w:t>
      </w:r>
      <w:proofErr w:type="spellStart"/>
      <w:r w:rsidR="00FA4F03" w:rsidRPr="00895F93">
        <w:rPr>
          <w:rFonts w:ascii="Times New Roman" w:hAnsi="Times New Roman" w:cs="Times New Roman"/>
          <w:b/>
        </w:rPr>
        <w:t>Schutzwirkung</w:t>
      </w:r>
      <w:proofErr w:type="spellEnd"/>
      <w:r w:rsidR="00FA4F03" w:rsidRPr="00895F93">
        <w:rPr>
          <w:rFonts w:ascii="Times New Roman" w:hAnsi="Times New Roman" w:cs="Times New Roman"/>
          <w:b/>
        </w:rPr>
        <w:t xml:space="preserve"> </w:t>
      </w:r>
      <w:proofErr w:type="spellStart"/>
      <w:r w:rsidR="00FA4F03" w:rsidRPr="00895F93">
        <w:rPr>
          <w:rFonts w:ascii="Times New Roman" w:hAnsi="Times New Roman" w:cs="Times New Roman"/>
          <w:b/>
        </w:rPr>
        <w:t>zugunsten</w:t>
      </w:r>
      <w:proofErr w:type="spellEnd"/>
      <w:r w:rsidR="00FA4F03" w:rsidRPr="00895F93">
        <w:rPr>
          <w:rFonts w:ascii="Times New Roman" w:hAnsi="Times New Roman" w:cs="Times New Roman"/>
          <w:b/>
        </w:rPr>
        <w:t xml:space="preserve"> </w:t>
      </w:r>
      <w:proofErr w:type="spellStart"/>
      <w:r w:rsidR="00FA4F03" w:rsidRPr="00895F93">
        <w:rPr>
          <w:rFonts w:ascii="Times New Roman" w:hAnsi="Times New Roman" w:cs="Times New Roman"/>
          <w:b/>
        </w:rPr>
        <w:t>Dritten</w:t>
      </w:r>
      <w:proofErr w:type="spellEnd"/>
      <w:r w:rsidR="00FA4F03" w:rsidRPr="003D7939">
        <w:rPr>
          <w:rFonts w:ascii="Times New Roman" w:hAnsi="Times New Roman" w:cs="Times New Roman"/>
        </w:rPr>
        <w:t>).</w:t>
      </w:r>
      <w:r w:rsidR="00FA4F03" w:rsidRPr="003D7939">
        <w:rPr>
          <w:rFonts w:ascii="Times New Roman" w:hAnsi="Times New Roman" w:cs="Times New Roman"/>
          <w:color w:val="000000"/>
        </w:rPr>
        <w:t xml:space="preserve"> </w:t>
      </w:r>
      <w:r w:rsidR="00FA4F03" w:rsidRPr="003D7939">
        <w:rPr>
          <w:rFonts w:ascii="Times New Roman" w:hAnsi="Times New Roman" w:cs="Times New Roman"/>
        </w:rPr>
        <w:t xml:space="preserve">A védőhatás elve egyébként elsőként az </w:t>
      </w:r>
      <w:r w:rsidR="00FA4F03" w:rsidRPr="003D7939">
        <w:rPr>
          <w:rFonts w:ascii="Times New Roman" w:hAnsi="Times New Roman" w:cs="Times New Roman"/>
          <w:b/>
        </w:rPr>
        <w:t xml:space="preserve">ún. </w:t>
      </w:r>
      <w:proofErr w:type="spellStart"/>
      <w:r w:rsidR="00FA4F03" w:rsidRPr="003D7939">
        <w:rPr>
          <w:rStyle w:val="apple-style-span"/>
          <w:rFonts w:ascii="Times New Roman" w:hAnsi="Times New Roman" w:cs="Times New Roman"/>
          <w:b/>
          <w:color w:val="000000"/>
        </w:rPr>
        <w:t>Salatblattfall</w:t>
      </w:r>
      <w:proofErr w:type="spellEnd"/>
      <w:r w:rsidR="00FA4F03" w:rsidRPr="003D7939">
        <w:rPr>
          <w:rStyle w:val="apple-converted-space"/>
          <w:rFonts w:ascii="Times New Roman" w:hAnsi="Times New Roman" w:cs="Times New Roman"/>
          <w:b/>
          <w:color w:val="000000"/>
        </w:rPr>
        <w:t> ügyben</w:t>
      </w:r>
      <w:r w:rsidR="00FA4F03" w:rsidRPr="003D7939">
        <w:rPr>
          <w:rStyle w:val="apple-converted-space"/>
          <w:rFonts w:ascii="Times New Roman" w:hAnsi="Times New Roman" w:cs="Times New Roman"/>
          <w:color w:val="000000"/>
        </w:rPr>
        <w:t xml:space="preserve"> jelent meg. A felelősség alapja ebben az esetben egy salátalevél lehullása volt, amelyen a boltba édesanyját elkísérő gyermek elcsúszott és eltörte a lábát. Habár a szerződő fél ebben az esetben nem is maga a gyermek volt, hanem az édesanya, ugyanakkor a szerződés védőhatása jelen esetben rá is kiterjedt, így alaposan lehetett a nem vagyoni kárai megtérítése iránti </w:t>
      </w:r>
      <w:proofErr w:type="gramStart"/>
      <w:r w:rsidR="00FA4F03" w:rsidRPr="003D7939">
        <w:rPr>
          <w:rStyle w:val="apple-converted-space"/>
          <w:rFonts w:ascii="Times New Roman" w:hAnsi="Times New Roman" w:cs="Times New Roman"/>
          <w:color w:val="000000"/>
        </w:rPr>
        <w:t>igénye</w:t>
      </w:r>
      <w:r w:rsidR="00FA4F03" w:rsidRPr="003D7939">
        <w:rPr>
          <w:rStyle w:val="Lbjegyzet-hivatkozs"/>
          <w:rFonts w:ascii="Times New Roman" w:hAnsi="Times New Roman" w:cs="Times New Roman"/>
          <w:color w:val="000000"/>
        </w:rPr>
        <w:footnoteReference w:id="5"/>
      </w:r>
      <w:r w:rsidR="00FA4F03" w:rsidRPr="003D7939">
        <w:rPr>
          <w:rStyle w:val="apple-converted-space"/>
          <w:rFonts w:ascii="Times New Roman" w:hAnsi="Times New Roman" w:cs="Times New Roman"/>
          <w:color w:val="000000"/>
        </w:rPr>
        <w:t>.</w:t>
      </w:r>
      <w:proofErr w:type="gramEnd"/>
      <w:r w:rsidR="00FA4F03" w:rsidRPr="003D7939">
        <w:rPr>
          <w:rStyle w:val="apple-converted-space"/>
          <w:rFonts w:ascii="Times New Roman" w:hAnsi="Times New Roman" w:cs="Times New Roman"/>
          <w:color w:val="000000"/>
        </w:rPr>
        <w:t xml:space="preserve"> </w:t>
      </w:r>
    </w:p>
    <w:p w:rsidR="00FA4F03" w:rsidRPr="003D7939" w:rsidRDefault="00FA4F03" w:rsidP="00382356">
      <w:pPr>
        <w:ind w:left="12" w:right="52"/>
        <w:jc w:val="both"/>
        <w:rPr>
          <w:rFonts w:ascii="Times New Roman" w:hAnsi="Times New Roman" w:cs="Times New Roman"/>
          <w:color w:val="000000" w:themeColor="text1"/>
        </w:rPr>
      </w:pPr>
    </w:p>
    <w:p w:rsidR="00A16E88" w:rsidRPr="003D7939" w:rsidRDefault="00286A86"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A </w:t>
      </w:r>
      <w:r w:rsidRPr="003D7939">
        <w:rPr>
          <w:rFonts w:ascii="Times New Roman" w:hAnsi="Times New Roman" w:cs="Times New Roman"/>
          <w:b/>
          <w:color w:val="000000" w:themeColor="text1"/>
        </w:rPr>
        <w:t xml:space="preserve">hazai bírói </w:t>
      </w:r>
      <w:r w:rsidR="00FA4F03" w:rsidRPr="003D7939">
        <w:rPr>
          <w:rFonts w:ascii="Times New Roman" w:hAnsi="Times New Roman" w:cs="Times New Roman"/>
          <w:b/>
          <w:color w:val="000000" w:themeColor="text1"/>
        </w:rPr>
        <w:t>jog</w:t>
      </w:r>
      <w:r w:rsidRPr="003D7939">
        <w:rPr>
          <w:rFonts w:ascii="Times New Roman" w:hAnsi="Times New Roman" w:cs="Times New Roman"/>
          <w:b/>
          <w:color w:val="000000" w:themeColor="text1"/>
        </w:rPr>
        <w:t>gyakorlat</w:t>
      </w:r>
      <w:r w:rsidRPr="003D7939">
        <w:rPr>
          <w:rFonts w:ascii="Times New Roman" w:hAnsi="Times New Roman" w:cs="Times New Roman"/>
          <w:color w:val="000000" w:themeColor="text1"/>
        </w:rPr>
        <w:t xml:space="preserve"> egészen </w:t>
      </w:r>
      <w:r w:rsidRPr="003D7939">
        <w:rPr>
          <w:rFonts w:ascii="Times New Roman" w:hAnsi="Times New Roman" w:cs="Times New Roman"/>
          <w:b/>
          <w:color w:val="000000" w:themeColor="text1"/>
        </w:rPr>
        <w:t xml:space="preserve">az 1980-as évekig </w:t>
      </w:r>
      <w:r w:rsidR="002A52CE" w:rsidRPr="003D7939">
        <w:rPr>
          <w:rFonts w:ascii="Times New Roman" w:hAnsi="Times New Roman" w:cs="Times New Roman"/>
          <w:b/>
          <w:color w:val="000000" w:themeColor="text1"/>
        </w:rPr>
        <w:t>konzekvens volt</w:t>
      </w:r>
      <w:r w:rsidR="002A52CE" w:rsidRPr="003D7939">
        <w:rPr>
          <w:rFonts w:ascii="Times New Roman" w:hAnsi="Times New Roman" w:cs="Times New Roman"/>
          <w:color w:val="000000" w:themeColor="text1"/>
        </w:rPr>
        <w:t xml:space="preserve"> abban, hogy </w:t>
      </w:r>
      <w:r w:rsidRPr="003D7939">
        <w:rPr>
          <w:rFonts w:ascii="Times New Roman" w:hAnsi="Times New Roman" w:cs="Times New Roman"/>
          <w:color w:val="000000" w:themeColor="text1"/>
        </w:rPr>
        <w:t>a kontraktuális felelősség szabályainak alkalmazásáv</w:t>
      </w:r>
      <w:r w:rsidR="002A52CE" w:rsidRPr="003D7939">
        <w:rPr>
          <w:rFonts w:ascii="Times New Roman" w:hAnsi="Times New Roman" w:cs="Times New Roman"/>
          <w:color w:val="000000" w:themeColor="text1"/>
        </w:rPr>
        <w:t>al vizsgálta az ügyeket</w:t>
      </w:r>
      <w:r w:rsidR="009912FD" w:rsidRPr="003D7939">
        <w:rPr>
          <w:rFonts w:ascii="Times New Roman" w:hAnsi="Times New Roman" w:cs="Times New Roman"/>
          <w:color w:val="000000" w:themeColor="text1"/>
        </w:rPr>
        <w:t xml:space="preserve">, amelynek következtében </w:t>
      </w:r>
      <w:r w:rsidR="009912FD" w:rsidRPr="003D7939">
        <w:rPr>
          <w:rStyle w:val="apple-style-span"/>
          <w:rFonts w:ascii="Times New Roman" w:hAnsi="Times New Roman" w:cs="Times New Roman"/>
          <w:b/>
          <w:color w:val="000000"/>
        </w:rPr>
        <w:t>a gyártóval szembeni keresetek rendre elutasításra kerültek</w:t>
      </w:r>
      <w:r w:rsidR="009912FD" w:rsidRPr="003D7939">
        <w:rPr>
          <w:rStyle w:val="apple-style-span"/>
          <w:rFonts w:ascii="Times New Roman" w:hAnsi="Times New Roman" w:cs="Times New Roman"/>
          <w:color w:val="000000"/>
        </w:rPr>
        <w:t xml:space="preserve">, hiszen a gyártó és a fogyasztó között nem jött létre szerződés, így értelemszerűen hibás teljesítéssel összefüggő igények érvényesítése sem volt lehetséges a gyártóval szemben. </w:t>
      </w:r>
      <w:r w:rsidR="002A52CE" w:rsidRPr="003D7939">
        <w:rPr>
          <w:rFonts w:ascii="Times New Roman" w:hAnsi="Times New Roman" w:cs="Times New Roman"/>
          <w:b/>
          <w:color w:val="000000" w:themeColor="text1"/>
        </w:rPr>
        <w:t>Ezt követően</w:t>
      </w:r>
      <w:r w:rsidR="002A52CE" w:rsidRPr="003D7939">
        <w:rPr>
          <w:rFonts w:ascii="Times New Roman" w:hAnsi="Times New Roman" w:cs="Times New Roman"/>
          <w:color w:val="000000" w:themeColor="text1"/>
        </w:rPr>
        <w:t xml:space="preserve"> azonban </w:t>
      </w:r>
      <w:r w:rsidR="001A6EE8" w:rsidRPr="003D7939">
        <w:rPr>
          <w:rFonts w:ascii="Times New Roman" w:hAnsi="Times New Roman" w:cs="Times New Roman"/>
          <w:color w:val="000000" w:themeColor="text1"/>
        </w:rPr>
        <w:t xml:space="preserve">a joggyakorlat </w:t>
      </w:r>
      <w:r w:rsidR="002A52CE" w:rsidRPr="003D7939">
        <w:rPr>
          <w:rFonts w:ascii="Times New Roman" w:hAnsi="Times New Roman" w:cs="Times New Roman"/>
          <w:color w:val="000000" w:themeColor="text1"/>
        </w:rPr>
        <w:t xml:space="preserve">már egyértelműen a </w:t>
      </w:r>
      <w:proofErr w:type="spellStart"/>
      <w:r w:rsidR="002A52CE" w:rsidRPr="003D7939">
        <w:rPr>
          <w:rFonts w:ascii="Times New Roman" w:hAnsi="Times New Roman" w:cs="Times New Roman"/>
          <w:b/>
          <w:color w:val="000000" w:themeColor="text1"/>
        </w:rPr>
        <w:t>deliktuális</w:t>
      </w:r>
      <w:proofErr w:type="spellEnd"/>
      <w:r w:rsidR="002A52CE" w:rsidRPr="003D7939">
        <w:rPr>
          <w:rFonts w:ascii="Times New Roman" w:hAnsi="Times New Roman" w:cs="Times New Roman"/>
          <w:b/>
          <w:color w:val="000000" w:themeColor="text1"/>
        </w:rPr>
        <w:t xml:space="preserve"> felelősség körébe tartozónak ismerte el a jogintézményt</w:t>
      </w:r>
      <w:r w:rsidR="002A52CE" w:rsidRPr="003D7939">
        <w:rPr>
          <w:rFonts w:ascii="Times New Roman" w:hAnsi="Times New Roman" w:cs="Times New Roman"/>
          <w:color w:val="000000" w:themeColor="text1"/>
        </w:rPr>
        <w:t xml:space="preserve">, megteremtve a jogintézmény modern szemléletének alkalmazhatóságát. </w:t>
      </w:r>
    </w:p>
    <w:p w:rsidR="00A16E88" w:rsidRPr="003D7939" w:rsidRDefault="00A16E88" w:rsidP="00382356">
      <w:pPr>
        <w:ind w:left="12" w:right="52"/>
        <w:jc w:val="both"/>
        <w:rPr>
          <w:rFonts w:ascii="Times New Roman" w:hAnsi="Times New Roman" w:cs="Times New Roman"/>
          <w:color w:val="000000" w:themeColor="text1"/>
        </w:rPr>
      </w:pPr>
    </w:p>
    <w:p w:rsidR="00A16E88" w:rsidRPr="003D7939" w:rsidRDefault="002A52CE"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A termékfelelősség ugyanakkor az általános kártérítési szabályoktól eltérő szabályozást kívánt meg, hiszen például a hazai jogot tekintve a felróhatóság hiányára alapított mentesülés gyakorlatilag minden esetben a gyártó felelősség alóli mentesülését eredményezte volna. </w:t>
      </w:r>
      <w:r w:rsidR="009912FD" w:rsidRPr="003D7939">
        <w:rPr>
          <w:rFonts w:ascii="Times New Roman" w:hAnsi="Times New Roman" w:cs="Times New Roman"/>
          <w:color w:val="000000" w:themeColor="text1"/>
        </w:rPr>
        <w:t>Ennek szellemiségét követte a</w:t>
      </w:r>
      <w:r w:rsidR="00A16E88" w:rsidRPr="003D7939">
        <w:rPr>
          <w:rFonts w:ascii="Times New Roman" w:hAnsi="Times New Roman" w:cs="Times New Roman"/>
          <w:color w:val="000000" w:themeColor="text1"/>
        </w:rPr>
        <w:t xml:space="preserve"> közösségi</w:t>
      </w:r>
      <w:r w:rsidR="009912FD" w:rsidRPr="003D7939">
        <w:rPr>
          <w:rFonts w:ascii="Times New Roman" w:hAnsi="Times New Roman" w:cs="Times New Roman"/>
          <w:color w:val="000000" w:themeColor="text1"/>
        </w:rPr>
        <w:t xml:space="preserve"> jogalkotó is, amikor is a gyártó objektív felelősségét előíró - </w:t>
      </w:r>
      <w:r w:rsidR="005C7D71">
        <w:rPr>
          <w:rFonts w:ascii="Times New Roman" w:hAnsi="Times New Roman" w:cs="Times New Roman"/>
          <w:color w:val="000000" w:themeColor="text1"/>
        </w:rPr>
        <w:t>teljes</w:t>
      </w:r>
      <w:r w:rsidR="009912FD" w:rsidRPr="003D7939">
        <w:rPr>
          <w:rFonts w:ascii="Times New Roman" w:hAnsi="Times New Roman" w:cs="Times New Roman"/>
          <w:color w:val="000000" w:themeColor="text1"/>
        </w:rPr>
        <w:t xml:space="preserve"> harmonizáción alapuló - </w:t>
      </w:r>
      <w:r w:rsidR="005C7D71" w:rsidRPr="005C7D71">
        <w:rPr>
          <w:rFonts w:ascii="Times New Roman" w:hAnsi="Times New Roman" w:cs="Times New Roman"/>
          <w:color w:val="000000" w:themeColor="text1"/>
        </w:rPr>
        <w:t xml:space="preserve">a </w:t>
      </w:r>
      <w:r w:rsidR="005C7D71">
        <w:rPr>
          <w:rFonts w:ascii="Times New Roman" w:hAnsi="Times New Roman" w:cs="Times New Roman"/>
          <w:color w:val="000000" w:themeColor="text1"/>
        </w:rPr>
        <w:t xml:space="preserve">Tanács </w:t>
      </w:r>
      <w:r w:rsidR="005C7D71" w:rsidRPr="005C7D71">
        <w:rPr>
          <w:rFonts w:ascii="Times New Roman" w:hAnsi="Times New Roman" w:cs="Times New Roman"/>
          <w:color w:val="000000" w:themeColor="text1"/>
        </w:rPr>
        <w:t>hibás termékekért való felelősségre vonatkozó tagállami törvényi, rendeleti és közigazgatási rendelkezések közelítéséről</w:t>
      </w:r>
      <w:r w:rsidR="005C7D71">
        <w:rPr>
          <w:rFonts w:ascii="Times New Roman" w:hAnsi="Times New Roman" w:cs="Times New Roman"/>
          <w:color w:val="000000" w:themeColor="text1"/>
        </w:rPr>
        <w:t xml:space="preserve"> szóló </w:t>
      </w:r>
      <w:r w:rsidR="005C7D71" w:rsidRPr="005C7D71">
        <w:rPr>
          <w:rFonts w:ascii="Times New Roman" w:hAnsi="Times New Roman" w:cs="Times New Roman"/>
          <w:color w:val="000000" w:themeColor="text1"/>
        </w:rPr>
        <w:t>85/374/EGK irányelv</w:t>
      </w:r>
      <w:r w:rsidR="005C7D71">
        <w:rPr>
          <w:rFonts w:ascii="Times New Roman" w:hAnsi="Times New Roman" w:cs="Times New Roman"/>
          <w:color w:val="000000" w:themeColor="text1"/>
        </w:rPr>
        <w:t>ének (a továbbiakban: irányelv)</w:t>
      </w:r>
      <w:r w:rsidR="005C7D71" w:rsidRPr="005C7D71">
        <w:rPr>
          <w:rFonts w:ascii="Times New Roman" w:hAnsi="Times New Roman" w:cs="Times New Roman"/>
          <w:color w:val="000000" w:themeColor="text1"/>
        </w:rPr>
        <w:t xml:space="preserve"> </w:t>
      </w:r>
      <w:r w:rsidR="009912FD" w:rsidRPr="003D7939">
        <w:rPr>
          <w:rFonts w:ascii="Times New Roman" w:hAnsi="Times New Roman" w:cs="Times New Roman"/>
          <w:color w:val="000000" w:themeColor="text1"/>
        </w:rPr>
        <w:t xml:space="preserve">megalkotására került sor. </w:t>
      </w:r>
    </w:p>
    <w:p w:rsidR="00A16E88" w:rsidRPr="003D7939" w:rsidRDefault="00A16E88" w:rsidP="00382356">
      <w:pPr>
        <w:ind w:left="12" w:right="52"/>
        <w:jc w:val="both"/>
        <w:rPr>
          <w:rFonts w:ascii="Times New Roman" w:hAnsi="Times New Roman" w:cs="Times New Roman"/>
          <w:color w:val="000000" w:themeColor="text1"/>
        </w:rPr>
      </w:pPr>
    </w:p>
    <w:p w:rsidR="00F71D56" w:rsidRDefault="009912FD" w:rsidP="00382356">
      <w:pPr>
        <w:ind w:left="12" w:right="52"/>
        <w:jc w:val="both"/>
        <w:rPr>
          <w:rFonts w:ascii="Times New Roman" w:hAnsi="Times New Roman" w:cs="Times New Roman"/>
          <w:color w:val="000000" w:themeColor="text1"/>
        </w:rPr>
      </w:pPr>
      <w:r w:rsidRPr="003D7939">
        <w:rPr>
          <w:rStyle w:val="apple-style-span"/>
          <w:rFonts w:ascii="Times New Roman" w:hAnsi="Times New Roman" w:cs="Times New Roman"/>
          <w:color w:val="000000"/>
        </w:rPr>
        <w:t>A termékfelelősségről szóló</w:t>
      </w:r>
      <w:r w:rsidRPr="003D7939">
        <w:rPr>
          <w:rStyle w:val="apple-style-span"/>
          <w:rFonts w:ascii="Times New Roman" w:hAnsi="Times New Roman" w:cs="Times New Roman"/>
          <w:b/>
          <w:color w:val="000000"/>
        </w:rPr>
        <w:t xml:space="preserve"> 1993. évi X. törvény</w:t>
      </w:r>
      <w:r w:rsidRPr="003D7939">
        <w:rPr>
          <w:rStyle w:val="apple-style-span"/>
          <w:rFonts w:ascii="Times New Roman" w:hAnsi="Times New Roman" w:cs="Times New Roman"/>
          <w:color w:val="000000"/>
        </w:rPr>
        <w:t xml:space="preserve"> hatálybalépésével </w:t>
      </w:r>
      <w:r w:rsidRPr="003D7939">
        <w:rPr>
          <w:rStyle w:val="apple-style-span"/>
          <w:rFonts w:ascii="Times New Roman" w:hAnsi="Times New Roman" w:cs="Times New Roman"/>
          <w:color w:val="000000"/>
        </w:rPr>
        <w:lastRenderedPageBreak/>
        <w:t xml:space="preserve">végül pedig </w:t>
      </w:r>
      <w:proofErr w:type="spellStart"/>
      <w:r w:rsidRPr="003D7939">
        <w:rPr>
          <w:rStyle w:val="apple-style-span"/>
          <w:rFonts w:ascii="Times New Roman" w:hAnsi="Times New Roman" w:cs="Times New Roman"/>
          <w:b/>
          <w:color w:val="000000"/>
        </w:rPr>
        <w:t>sui</w:t>
      </w:r>
      <w:proofErr w:type="spellEnd"/>
      <w:r w:rsidRPr="003D7939">
        <w:rPr>
          <w:rStyle w:val="apple-style-span"/>
          <w:rFonts w:ascii="Times New Roman" w:hAnsi="Times New Roman" w:cs="Times New Roman"/>
          <w:b/>
          <w:color w:val="000000"/>
        </w:rPr>
        <w:t xml:space="preserve"> generis felelősségi alakzattá vált a termékfelelősség</w:t>
      </w:r>
      <w:r w:rsidRPr="003D7939">
        <w:rPr>
          <w:rStyle w:val="apple-style-span"/>
          <w:rFonts w:ascii="Times New Roman" w:hAnsi="Times New Roman" w:cs="Times New Roman"/>
          <w:color w:val="000000"/>
        </w:rPr>
        <w:t xml:space="preserve"> a hazai jogban is. </w:t>
      </w:r>
      <w:r w:rsidR="00B64FC7" w:rsidRPr="003D7939">
        <w:rPr>
          <w:rFonts w:ascii="Times New Roman" w:hAnsi="Times New Roman" w:cs="Times New Roman"/>
          <w:snapToGrid w:val="0"/>
          <w:color w:val="000000" w:themeColor="text1"/>
        </w:rPr>
        <w:t xml:space="preserve">A hazai </w:t>
      </w:r>
      <w:r w:rsidR="00AF2707" w:rsidRPr="003D7939">
        <w:rPr>
          <w:rFonts w:ascii="Times New Roman" w:hAnsi="Times New Roman" w:cs="Times New Roman"/>
          <w:snapToGrid w:val="0"/>
          <w:color w:val="000000" w:themeColor="text1"/>
        </w:rPr>
        <w:t>szabályozás</w:t>
      </w:r>
      <w:r w:rsidRPr="003D7939">
        <w:rPr>
          <w:rFonts w:ascii="Times New Roman" w:hAnsi="Times New Roman" w:cs="Times New Roman"/>
          <w:snapToGrid w:val="0"/>
          <w:color w:val="000000" w:themeColor="text1"/>
        </w:rPr>
        <w:t xml:space="preserve"> során egyébként k</w:t>
      </w:r>
      <w:r w:rsidR="00B64FC7" w:rsidRPr="003D7939">
        <w:rPr>
          <w:rFonts w:ascii="Times New Roman" w:hAnsi="Times New Roman" w:cs="Times New Roman"/>
          <w:snapToGrid w:val="0"/>
          <w:color w:val="000000" w:themeColor="text1"/>
        </w:rPr>
        <w:t xml:space="preserve">ezdetektől vita tárgyát képezte, hogy a termékfelelősség szabályai külön törvényben kerüljenek megalkotásra, vagy a Polgári </w:t>
      </w:r>
      <w:r w:rsidR="00603CD1" w:rsidRPr="003D7939">
        <w:rPr>
          <w:rFonts w:ascii="Times New Roman" w:hAnsi="Times New Roman" w:cs="Times New Roman"/>
          <w:snapToGrid w:val="0"/>
          <w:color w:val="000000" w:themeColor="text1"/>
        </w:rPr>
        <w:t>T</w:t>
      </w:r>
      <w:r w:rsidR="00B64FC7" w:rsidRPr="003D7939">
        <w:rPr>
          <w:rFonts w:ascii="Times New Roman" w:hAnsi="Times New Roman" w:cs="Times New Roman"/>
          <w:snapToGrid w:val="0"/>
          <w:color w:val="000000" w:themeColor="text1"/>
        </w:rPr>
        <w:t xml:space="preserve">örvénykönyv szabályai között kerüljenek elhelyezésre. </w:t>
      </w:r>
      <w:r w:rsidR="00A16E88" w:rsidRPr="003D7939">
        <w:rPr>
          <w:rFonts w:ascii="Times New Roman" w:hAnsi="Times New Roman" w:cs="Times New Roman"/>
          <w:snapToGrid w:val="0"/>
          <w:color w:val="000000" w:themeColor="text1"/>
        </w:rPr>
        <w:t>Míg</w:t>
      </w:r>
      <w:r w:rsidR="00AF2707" w:rsidRPr="003D7939">
        <w:rPr>
          <w:rFonts w:ascii="Times New Roman" w:hAnsi="Times New Roman" w:cs="Times New Roman"/>
          <w:snapToGrid w:val="0"/>
          <w:color w:val="000000" w:themeColor="text1"/>
        </w:rPr>
        <w:t xml:space="preserve"> hazai </w:t>
      </w:r>
      <w:r w:rsidR="00B64FC7" w:rsidRPr="003D7939">
        <w:rPr>
          <w:rFonts w:ascii="Times New Roman" w:hAnsi="Times New Roman" w:cs="Times New Roman"/>
          <w:snapToGrid w:val="0"/>
          <w:color w:val="000000" w:themeColor="text1"/>
        </w:rPr>
        <w:t xml:space="preserve">jogalkotó </w:t>
      </w:r>
      <w:r w:rsidR="00A16E88" w:rsidRPr="003D7939">
        <w:rPr>
          <w:rFonts w:ascii="Times New Roman" w:hAnsi="Times New Roman" w:cs="Times New Roman"/>
          <w:snapToGrid w:val="0"/>
          <w:color w:val="000000" w:themeColor="text1"/>
        </w:rPr>
        <w:t xml:space="preserve">korábban tehát külön törvényben </w:t>
      </w:r>
      <w:r w:rsidR="00B64FC7" w:rsidRPr="003D7939">
        <w:rPr>
          <w:rFonts w:ascii="Times New Roman" w:hAnsi="Times New Roman" w:cs="Times New Roman"/>
          <w:snapToGrid w:val="0"/>
          <w:color w:val="000000" w:themeColor="text1"/>
        </w:rPr>
        <w:t>szabályozta a termékfelelősség j</w:t>
      </w:r>
      <w:r w:rsidR="00AF2707" w:rsidRPr="003D7939">
        <w:rPr>
          <w:rFonts w:ascii="Times New Roman" w:hAnsi="Times New Roman" w:cs="Times New Roman"/>
          <w:snapToGrid w:val="0"/>
          <w:color w:val="000000" w:themeColor="text1"/>
        </w:rPr>
        <w:t>ogintézményét, j</w:t>
      </w:r>
      <w:r w:rsidR="00B64FC7" w:rsidRPr="003D7939">
        <w:rPr>
          <w:rFonts w:ascii="Times New Roman" w:hAnsi="Times New Roman" w:cs="Times New Roman"/>
          <w:color w:val="000000" w:themeColor="text1"/>
        </w:rPr>
        <w:t xml:space="preserve">elenleg </w:t>
      </w:r>
      <w:r w:rsidR="00A16E88" w:rsidRPr="003D7939">
        <w:rPr>
          <w:rFonts w:ascii="Times New Roman" w:hAnsi="Times New Roman" w:cs="Times New Roman"/>
          <w:color w:val="000000" w:themeColor="text1"/>
        </w:rPr>
        <w:t>-</w:t>
      </w:r>
      <w:r w:rsidR="00E23E53" w:rsidRPr="003D7939">
        <w:rPr>
          <w:rFonts w:ascii="Times New Roman" w:hAnsi="Times New Roman" w:cs="Times New Roman"/>
          <w:color w:val="000000" w:themeColor="text1"/>
        </w:rPr>
        <w:t xml:space="preserve"> </w:t>
      </w:r>
      <w:r w:rsidR="00A16E88" w:rsidRPr="003D7939">
        <w:rPr>
          <w:rFonts w:ascii="Times New Roman" w:hAnsi="Times New Roman" w:cs="Times New Roman"/>
          <w:color w:val="000000" w:themeColor="text1"/>
        </w:rPr>
        <w:t>e külön</w:t>
      </w:r>
      <w:r w:rsidR="00E23E53" w:rsidRPr="003D7939">
        <w:rPr>
          <w:rFonts w:ascii="Times New Roman" w:hAnsi="Times New Roman" w:cs="Times New Roman"/>
          <w:color w:val="000000" w:themeColor="text1"/>
        </w:rPr>
        <w:t xml:space="preserve"> törvény hatályon kívül helyezésével - </w:t>
      </w:r>
      <w:r w:rsidR="00AF2707" w:rsidRPr="003D7939">
        <w:rPr>
          <w:rFonts w:ascii="Times New Roman" w:hAnsi="Times New Roman" w:cs="Times New Roman"/>
          <w:color w:val="000000" w:themeColor="text1"/>
        </w:rPr>
        <w:t>a</w:t>
      </w:r>
      <w:r w:rsidR="00B64FC7" w:rsidRPr="003D7939">
        <w:rPr>
          <w:rFonts w:ascii="Times New Roman" w:hAnsi="Times New Roman" w:cs="Times New Roman"/>
          <w:color w:val="000000" w:themeColor="text1"/>
        </w:rPr>
        <w:t xml:space="preserve"> vonatkozó szabályokat a Polgári Törvénykönyvről szóló </w:t>
      </w:r>
      <w:r w:rsidR="00B64FC7" w:rsidRPr="003D7939">
        <w:rPr>
          <w:rFonts w:ascii="Times New Roman" w:hAnsi="Times New Roman" w:cs="Times New Roman"/>
          <w:b/>
          <w:color w:val="000000" w:themeColor="text1"/>
        </w:rPr>
        <w:t>2013. évi V. törvény</w:t>
      </w:r>
      <w:r w:rsidR="00B64FC7" w:rsidRPr="003D7939">
        <w:rPr>
          <w:rFonts w:ascii="Times New Roman" w:hAnsi="Times New Roman" w:cs="Times New Roman"/>
          <w:color w:val="000000" w:themeColor="text1"/>
        </w:rPr>
        <w:t xml:space="preserve"> (a továbbiakban: Ptk.) </w:t>
      </w:r>
      <w:r w:rsidR="00B64FC7" w:rsidRPr="003D7939">
        <w:rPr>
          <w:rFonts w:ascii="Times New Roman" w:hAnsi="Times New Roman" w:cs="Times New Roman"/>
          <w:b/>
          <w:color w:val="000000" w:themeColor="text1"/>
        </w:rPr>
        <w:t>6:550-6:559. §</w:t>
      </w:r>
      <w:r w:rsidR="00B64FC7" w:rsidRPr="003D7939">
        <w:rPr>
          <w:rFonts w:ascii="Times New Roman" w:hAnsi="Times New Roman" w:cs="Times New Roman"/>
          <w:color w:val="000000" w:themeColor="text1"/>
        </w:rPr>
        <w:t xml:space="preserve"> rendelkezései tartalmazzák.</w:t>
      </w:r>
    </w:p>
    <w:p w:rsidR="00382356" w:rsidRPr="003D7939" w:rsidRDefault="00382356" w:rsidP="00382356">
      <w:pPr>
        <w:ind w:left="12" w:right="52"/>
        <w:jc w:val="both"/>
        <w:rPr>
          <w:rFonts w:ascii="Times New Roman" w:hAnsi="Times New Roman" w:cs="Times New Roman"/>
          <w:color w:val="000000" w:themeColor="text1"/>
        </w:rPr>
      </w:pPr>
    </w:p>
    <w:p w:rsidR="00A16E88" w:rsidRPr="007C3CEF" w:rsidRDefault="00A16E88" w:rsidP="00382356">
      <w:pPr>
        <w:pStyle w:val="Cmsor1"/>
        <w:spacing w:before="0"/>
        <w:rPr>
          <w:rFonts w:ascii="Times New Roman" w:hAnsi="Times New Roman" w:cs="Times New Roman"/>
          <w:color w:val="000000" w:themeColor="text1"/>
          <w:sz w:val="24"/>
          <w:szCs w:val="24"/>
        </w:rPr>
      </w:pPr>
      <w:bookmarkStart w:id="14" w:name="pr69"/>
      <w:bookmarkStart w:id="15" w:name="pr65"/>
      <w:bookmarkStart w:id="16" w:name="pr66"/>
      <w:bookmarkEnd w:id="14"/>
      <w:bookmarkEnd w:id="15"/>
      <w:bookmarkEnd w:id="16"/>
      <w:r w:rsidRPr="007C3CEF">
        <w:rPr>
          <w:rFonts w:ascii="Times New Roman" w:hAnsi="Times New Roman" w:cs="Times New Roman"/>
          <w:color w:val="000000" w:themeColor="text1"/>
          <w:sz w:val="24"/>
          <w:szCs w:val="24"/>
        </w:rPr>
        <w:t>3. A termékfelelősség központi fogalmi elemei</w:t>
      </w:r>
    </w:p>
    <w:p w:rsidR="00A16E88" w:rsidRPr="003D7939" w:rsidRDefault="00A16E88" w:rsidP="00382356">
      <w:pPr>
        <w:ind w:left="12" w:right="52"/>
        <w:jc w:val="both"/>
        <w:rPr>
          <w:rFonts w:ascii="Times New Roman" w:hAnsi="Times New Roman" w:cs="Times New Roman"/>
          <w:color w:val="000000" w:themeColor="text1"/>
        </w:rPr>
      </w:pPr>
    </w:p>
    <w:p w:rsidR="00F25E2F" w:rsidRPr="007C3CEF" w:rsidRDefault="00E27FAF" w:rsidP="00382356">
      <w:pPr>
        <w:pStyle w:val="Cmsor2"/>
        <w:spacing w:before="0"/>
        <w:rPr>
          <w:rFonts w:ascii="Times New Roman" w:hAnsi="Times New Roman" w:cs="Times New Roman"/>
          <w:bCs w:val="0"/>
          <w:color w:val="000000" w:themeColor="text1"/>
          <w:sz w:val="24"/>
          <w:szCs w:val="24"/>
        </w:rPr>
      </w:pPr>
      <w:r w:rsidRPr="007C3CEF">
        <w:rPr>
          <w:rFonts w:ascii="Times New Roman" w:hAnsi="Times New Roman" w:cs="Times New Roman"/>
          <w:bCs w:val="0"/>
          <w:color w:val="000000" w:themeColor="text1"/>
          <w:sz w:val="24"/>
          <w:szCs w:val="24"/>
        </w:rPr>
        <w:t>3</w:t>
      </w:r>
      <w:r w:rsidR="00A16E88" w:rsidRPr="007C3CEF">
        <w:rPr>
          <w:rFonts w:ascii="Times New Roman" w:hAnsi="Times New Roman" w:cs="Times New Roman"/>
          <w:bCs w:val="0"/>
          <w:color w:val="000000" w:themeColor="text1"/>
          <w:sz w:val="24"/>
          <w:szCs w:val="24"/>
        </w:rPr>
        <w:t>.1.</w:t>
      </w:r>
      <w:r w:rsidR="00F25E2F" w:rsidRPr="007C3CEF">
        <w:rPr>
          <w:rFonts w:ascii="Times New Roman" w:hAnsi="Times New Roman" w:cs="Times New Roman"/>
          <w:bCs w:val="0"/>
          <w:color w:val="000000" w:themeColor="text1"/>
          <w:sz w:val="24"/>
          <w:szCs w:val="24"/>
        </w:rPr>
        <w:t xml:space="preserve"> </w:t>
      </w:r>
      <w:r w:rsidR="00A16E88" w:rsidRPr="007C3CEF">
        <w:rPr>
          <w:rFonts w:ascii="Times New Roman" w:hAnsi="Times New Roman" w:cs="Times New Roman"/>
          <w:bCs w:val="0"/>
          <w:color w:val="000000" w:themeColor="text1"/>
          <w:sz w:val="24"/>
          <w:szCs w:val="24"/>
        </w:rPr>
        <w:t>A termék</w:t>
      </w:r>
    </w:p>
    <w:p w:rsidR="00F25E2F" w:rsidRPr="003D7939" w:rsidRDefault="00F25E2F" w:rsidP="00382356">
      <w:pPr>
        <w:ind w:left="12" w:right="52"/>
        <w:jc w:val="both"/>
        <w:rPr>
          <w:rFonts w:ascii="Times New Roman" w:hAnsi="Times New Roman" w:cs="Times New Roman"/>
          <w:color w:val="000000" w:themeColor="text1"/>
        </w:rPr>
      </w:pPr>
    </w:p>
    <w:p w:rsidR="00CE1EB8" w:rsidRPr="003D7939" w:rsidRDefault="00F25E2F"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Az irányelvi szabályozást </w:t>
      </w:r>
      <w:r w:rsidRPr="003D7939">
        <w:rPr>
          <w:rFonts w:ascii="Times New Roman" w:hAnsi="Times New Roman" w:cs="Times New Roman"/>
          <w:b/>
          <w:color w:val="000000" w:themeColor="text1"/>
        </w:rPr>
        <w:t>megelőzően</w:t>
      </w:r>
      <w:r w:rsidRPr="003D7939">
        <w:rPr>
          <w:rFonts w:ascii="Times New Roman" w:hAnsi="Times New Roman" w:cs="Times New Roman"/>
          <w:color w:val="000000" w:themeColor="text1"/>
        </w:rPr>
        <w:t xml:space="preserve"> alapvetően </w:t>
      </w:r>
      <w:r w:rsidRPr="003D7939">
        <w:rPr>
          <w:rFonts w:ascii="Times New Roman" w:hAnsi="Times New Roman" w:cs="Times New Roman"/>
          <w:b/>
          <w:color w:val="000000" w:themeColor="text1"/>
        </w:rPr>
        <w:t xml:space="preserve">csak </w:t>
      </w:r>
      <w:proofErr w:type="gramStart"/>
      <w:r w:rsidRPr="003D7939">
        <w:rPr>
          <w:rFonts w:ascii="Times New Roman" w:hAnsi="Times New Roman" w:cs="Times New Roman"/>
          <w:b/>
          <w:color w:val="000000" w:themeColor="text1"/>
        </w:rPr>
        <w:t>termék-specifikus szabályozás</w:t>
      </w:r>
      <w:proofErr w:type="gramEnd"/>
      <w:r w:rsidRPr="003D7939">
        <w:rPr>
          <w:rFonts w:ascii="Times New Roman" w:hAnsi="Times New Roman" w:cs="Times New Roman"/>
          <w:color w:val="000000" w:themeColor="text1"/>
        </w:rPr>
        <w:t xml:space="preserve">, illetve joggyakorlat létezett egyes európai államok jogában (például a kozmetikai termékek, a gyógyszertermékek forgalmazása körében). Az </w:t>
      </w:r>
      <w:r w:rsidRPr="003D7939">
        <w:rPr>
          <w:rFonts w:ascii="Times New Roman" w:hAnsi="Times New Roman" w:cs="Times New Roman"/>
          <w:b/>
          <w:color w:val="000000" w:themeColor="text1"/>
        </w:rPr>
        <w:t>irányelv</w:t>
      </w:r>
      <w:r w:rsidRPr="003D7939">
        <w:rPr>
          <w:rFonts w:ascii="Times New Roman" w:hAnsi="Times New Roman" w:cs="Times New Roman"/>
          <w:color w:val="000000" w:themeColor="text1"/>
        </w:rPr>
        <w:t xml:space="preserve"> ezt a fajta partikularitást megszüntette és a </w:t>
      </w:r>
      <w:r w:rsidRPr="003D7939">
        <w:rPr>
          <w:rFonts w:ascii="Times New Roman" w:hAnsi="Times New Roman" w:cs="Times New Roman"/>
          <w:b/>
          <w:color w:val="000000" w:themeColor="text1"/>
        </w:rPr>
        <w:t>termék fogalmának átfogó meghatározását adta</w:t>
      </w:r>
      <w:r w:rsidRPr="003D7939">
        <w:rPr>
          <w:rFonts w:ascii="Times New Roman" w:hAnsi="Times New Roman" w:cs="Times New Roman"/>
          <w:color w:val="000000" w:themeColor="text1"/>
        </w:rPr>
        <w:t xml:space="preserve">. </w:t>
      </w:r>
      <w:proofErr w:type="gramStart"/>
      <w:r w:rsidRPr="003D7939">
        <w:rPr>
          <w:rFonts w:ascii="Times New Roman" w:hAnsi="Times New Roman" w:cs="Times New Roman"/>
          <w:color w:val="000000" w:themeColor="text1"/>
        </w:rPr>
        <w:t xml:space="preserve">Az irányelv tárgyi hatálya eredetileg nem terjedt ki </w:t>
      </w:r>
      <w:r w:rsidR="00CE1EB8" w:rsidRPr="003D7939">
        <w:rPr>
          <w:rFonts w:ascii="Times New Roman" w:hAnsi="Times New Roman" w:cs="Times New Roman"/>
          <w:color w:val="000000" w:themeColor="text1"/>
        </w:rPr>
        <w:t xml:space="preserve">ugyanakkor </w:t>
      </w:r>
      <w:r w:rsidRPr="003D7939">
        <w:rPr>
          <w:rFonts w:ascii="Times New Roman" w:hAnsi="Times New Roman" w:cs="Times New Roman"/>
          <w:color w:val="000000" w:themeColor="text1"/>
        </w:rPr>
        <w:t>a földművelés, állattenyésztés, halászat és vadászat feldolgozatlan termékeire, az 1990-es é</w:t>
      </w:r>
      <w:r w:rsidR="00F23B0E" w:rsidRPr="003D7939">
        <w:rPr>
          <w:rFonts w:ascii="Times New Roman" w:hAnsi="Times New Roman" w:cs="Times New Roman"/>
          <w:color w:val="000000" w:themeColor="text1"/>
        </w:rPr>
        <w:t>vek</w:t>
      </w:r>
      <w:r w:rsidRPr="003D7939">
        <w:rPr>
          <w:rFonts w:ascii="Times New Roman" w:hAnsi="Times New Roman" w:cs="Times New Roman"/>
          <w:color w:val="000000" w:themeColor="text1"/>
        </w:rPr>
        <w:t xml:space="preserve">ben az élelmiszerek okozta megbetegedések kockázatainak felismerése (például </w:t>
      </w:r>
      <w:proofErr w:type="spellStart"/>
      <w:r w:rsidRPr="003D7939">
        <w:rPr>
          <w:rFonts w:ascii="Times New Roman" w:hAnsi="Times New Roman" w:cs="Times New Roman"/>
          <w:color w:val="000000" w:themeColor="text1"/>
        </w:rPr>
        <w:t>kergemarha-kór</w:t>
      </w:r>
      <w:proofErr w:type="spellEnd"/>
      <w:r w:rsidRPr="003D7939">
        <w:rPr>
          <w:rFonts w:ascii="Times New Roman" w:hAnsi="Times New Roman" w:cs="Times New Roman"/>
          <w:color w:val="000000" w:themeColor="text1"/>
        </w:rPr>
        <w:t xml:space="preserve">, madárinfluenza) hatására ezeket </w:t>
      </w:r>
      <w:r w:rsidRPr="003D7939">
        <w:rPr>
          <w:rFonts w:ascii="Times New Roman" w:hAnsi="Times New Roman" w:cs="Times New Roman"/>
          <w:b/>
          <w:color w:val="000000" w:themeColor="text1"/>
        </w:rPr>
        <w:t>a nyers termékeket is a termék fogalma alá vonta az uniós jogalkotó</w:t>
      </w:r>
      <w:r w:rsidRPr="003D7939">
        <w:rPr>
          <w:rStyle w:val="Lbjegyzet-hivatkozs"/>
          <w:rFonts w:ascii="Times New Roman" w:hAnsi="Times New Roman" w:cs="Times New Roman"/>
          <w:color w:val="000000" w:themeColor="text1"/>
        </w:rPr>
        <w:footnoteReference w:id="6"/>
      </w:r>
      <w:r w:rsidRPr="003D7939">
        <w:rPr>
          <w:rFonts w:ascii="Times New Roman" w:hAnsi="Times New Roman" w:cs="Times New Roman"/>
          <w:color w:val="000000" w:themeColor="text1"/>
        </w:rPr>
        <w:t xml:space="preserve">. </w:t>
      </w:r>
      <w:r w:rsidR="00CE1EB8" w:rsidRPr="003D7939">
        <w:rPr>
          <w:rFonts w:ascii="Times New Roman" w:hAnsi="Times New Roman" w:cs="Times New Roman"/>
          <w:color w:val="000000" w:themeColor="text1"/>
        </w:rPr>
        <w:t xml:space="preserve">Sőt az irányelv 15. cikk (1) bekezdése a) pontja lehetővé teszi azt is, hogy a tagállamok </w:t>
      </w:r>
      <w:r w:rsidR="00CE1EB8" w:rsidRPr="003D7939">
        <w:rPr>
          <w:rFonts w:ascii="Times New Roman" w:hAnsi="Times New Roman" w:cs="Times New Roman"/>
        </w:rPr>
        <w:t>a 2. cikktől eltérve, jogszabályaikban az 1. cikk értelmében a "termék" fogalma alá vonják az elsődleges mezőgazdasági termékeket és a vadászati termékeket</w:t>
      </w:r>
      <w:proofErr w:type="gramEnd"/>
      <w:r w:rsidR="00CE1EB8" w:rsidRPr="003D7939">
        <w:rPr>
          <w:rFonts w:ascii="Times New Roman" w:hAnsi="Times New Roman" w:cs="Times New Roman"/>
        </w:rPr>
        <w:t xml:space="preserve"> </w:t>
      </w:r>
      <w:proofErr w:type="gramStart"/>
      <w:r w:rsidR="00CE1EB8" w:rsidRPr="003D7939">
        <w:rPr>
          <w:rFonts w:ascii="Times New Roman" w:hAnsi="Times New Roman" w:cs="Times New Roman"/>
        </w:rPr>
        <w:t>is</w:t>
      </w:r>
      <w:proofErr w:type="gramEnd"/>
      <w:r w:rsidR="00CE1EB8" w:rsidRPr="003D7939">
        <w:rPr>
          <w:rFonts w:ascii="Times New Roman" w:hAnsi="Times New Roman" w:cs="Times New Roman"/>
        </w:rPr>
        <w:t>.</w:t>
      </w:r>
    </w:p>
    <w:p w:rsidR="00CE1EB8" w:rsidRPr="003D7939" w:rsidRDefault="00CE1EB8" w:rsidP="00382356">
      <w:pPr>
        <w:ind w:left="12" w:right="52"/>
        <w:jc w:val="both"/>
        <w:rPr>
          <w:rFonts w:ascii="Times New Roman" w:hAnsi="Times New Roman" w:cs="Times New Roman"/>
          <w:color w:val="000000" w:themeColor="text1"/>
        </w:rPr>
      </w:pPr>
    </w:p>
    <w:p w:rsidR="00F25E2F" w:rsidRPr="003D7939" w:rsidRDefault="00F25E2F"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Habár az irányelv felülvizsgálatának folyamatában többször felmerült már a termékfelelősségi szabályok kiterjesztése a szolgáltatások körére, ugyanakkor a </w:t>
      </w:r>
      <w:r w:rsidRPr="003D7939">
        <w:rPr>
          <w:rFonts w:ascii="Times New Roman" w:hAnsi="Times New Roman" w:cs="Times New Roman"/>
          <w:color w:val="000000" w:themeColor="text1"/>
        </w:rPr>
        <w:t xml:space="preserve">hatályos szabályozás kizárólag a termékekről rendelkezik, így </w:t>
      </w:r>
      <w:r w:rsidRPr="003D7939">
        <w:rPr>
          <w:rFonts w:ascii="Times New Roman" w:hAnsi="Times New Roman" w:cs="Times New Roman"/>
          <w:b/>
          <w:color w:val="000000" w:themeColor="text1"/>
        </w:rPr>
        <w:t>nincs lehetőség arra, hogy a hibás szolgáltatás miatt bekövetkező károk</w:t>
      </w:r>
      <w:r w:rsidR="00F23B0E" w:rsidRPr="003D7939">
        <w:rPr>
          <w:rFonts w:ascii="Times New Roman" w:hAnsi="Times New Roman" w:cs="Times New Roman"/>
          <w:b/>
          <w:color w:val="000000" w:themeColor="text1"/>
        </w:rPr>
        <w:t xml:space="preserve"> megtérítését </w:t>
      </w:r>
      <w:r w:rsidR="00F23B0E" w:rsidRPr="003D7939">
        <w:rPr>
          <w:rFonts w:ascii="Times New Roman" w:hAnsi="Times New Roman" w:cs="Times New Roman"/>
          <w:color w:val="000000" w:themeColor="text1"/>
        </w:rPr>
        <w:t>a</w:t>
      </w:r>
      <w:r w:rsidRPr="003D7939">
        <w:rPr>
          <w:rFonts w:ascii="Times New Roman" w:hAnsi="Times New Roman" w:cs="Times New Roman"/>
          <w:color w:val="000000" w:themeColor="text1"/>
        </w:rPr>
        <w:t xml:space="preserve"> </w:t>
      </w:r>
      <w:r w:rsidRPr="003D7939">
        <w:rPr>
          <w:rFonts w:ascii="Times New Roman" w:hAnsi="Times New Roman" w:cs="Times New Roman"/>
          <w:snapToGrid w:val="0"/>
          <w:color w:val="000000" w:themeColor="text1"/>
        </w:rPr>
        <w:t xml:space="preserve">termékfelelősség jogintézményére vonatkozó objektív felelősségi szabályok alkalmazásával </w:t>
      </w:r>
      <w:r w:rsidRPr="003D7939">
        <w:rPr>
          <w:rFonts w:ascii="Times New Roman" w:hAnsi="Times New Roman" w:cs="Times New Roman"/>
          <w:b/>
          <w:snapToGrid w:val="0"/>
          <w:color w:val="000000" w:themeColor="text1"/>
        </w:rPr>
        <w:t>követeljék</w:t>
      </w:r>
      <w:r w:rsidRPr="003D7939">
        <w:rPr>
          <w:rFonts w:ascii="Times New Roman" w:hAnsi="Times New Roman" w:cs="Times New Roman"/>
          <w:snapToGrid w:val="0"/>
          <w:color w:val="000000" w:themeColor="text1"/>
        </w:rPr>
        <w:t xml:space="preserve">. </w:t>
      </w:r>
      <w:r w:rsidR="00614403" w:rsidRPr="003D7939">
        <w:rPr>
          <w:rFonts w:ascii="Times New Roman" w:hAnsi="Times New Roman" w:cs="Times New Roman"/>
          <w:color w:val="000000" w:themeColor="text1"/>
        </w:rPr>
        <w:t xml:space="preserve">A gyakorlatban felvetődött külön kérdés volt, hogy a </w:t>
      </w:r>
      <w:r w:rsidR="00614403" w:rsidRPr="003D7939">
        <w:rPr>
          <w:rFonts w:ascii="Times New Roman" w:hAnsi="Times New Roman" w:cs="Times New Roman"/>
          <w:snapToGrid w:val="0"/>
          <w:color w:val="000000" w:themeColor="text1"/>
        </w:rPr>
        <w:t>számítógép</w:t>
      </w:r>
      <w:r w:rsidR="00716936">
        <w:rPr>
          <w:rFonts w:ascii="Times New Roman" w:hAnsi="Times New Roman" w:cs="Times New Roman"/>
          <w:snapToGrid w:val="0"/>
          <w:color w:val="000000" w:themeColor="text1"/>
        </w:rPr>
        <w:t>i</w:t>
      </w:r>
      <w:r w:rsidR="00614403" w:rsidRPr="003D7939">
        <w:rPr>
          <w:rFonts w:ascii="Times New Roman" w:hAnsi="Times New Roman" w:cs="Times New Roman"/>
          <w:snapToGrid w:val="0"/>
          <w:color w:val="000000" w:themeColor="text1"/>
        </w:rPr>
        <w:t xml:space="preserve"> programalkotások (szoftver) esetében szolgáltatásról vagy termékről </w:t>
      </w:r>
      <w:r w:rsidR="00614403" w:rsidRPr="003D7939">
        <w:rPr>
          <w:rFonts w:ascii="Times New Roman" w:hAnsi="Times New Roman" w:cs="Times New Roman"/>
          <w:snapToGrid w:val="0"/>
          <w:color w:val="000000" w:themeColor="text1"/>
        </w:rPr>
        <w:lastRenderedPageBreak/>
        <w:t xml:space="preserve">beszélhetünk-e. Míg a hardver kapcsán nyilvánvaló annak termék jellege, ugyanakkor a szoftver, mint a hardver hasznosítását lehetővé tevő programalkotás szolgáltatás jelleget tükröz.  Az Európai Bizottság ugyanakkor állásfoglalásában a szoftvereket fizikai javakként vonta a termék </w:t>
      </w:r>
      <w:proofErr w:type="gramStart"/>
      <w:r w:rsidR="00614403" w:rsidRPr="003D7939">
        <w:rPr>
          <w:rFonts w:ascii="Times New Roman" w:hAnsi="Times New Roman" w:cs="Times New Roman"/>
          <w:snapToGrid w:val="0"/>
          <w:color w:val="000000" w:themeColor="text1"/>
        </w:rPr>
        <w:t>fogalomkörébe</w:t>
      </w:r>
      <w:r w:rsidR="00614403" w:rsidRPr="003D7939">
        <w:rPr>
          <w:rStyle w:val="Lbjegyzet-hivatkozs"/>
          <w:rFonts w:ascii="Times New Roman" w:hAnsi="Times New Roman" w:cs="Times New Roman"/>
          <w:snapToGrid w:val="0"/>
          <w:color w:val="000000" w:themeColor="text1"/>
        </w:rPr>
        <w:footnoteReference w:id="7"/>
      </w:r>
      <w:r w:rsidR="00614403" w:rsidRPr="003D7939">
        <w:rPr>
          <w:rFonts w:ascii="Times New Roman" w:hAnsi="Times New Roman" w:cs="Times New Roman"/>
          <w:snapToGrid w:val="0"/>
          <w:color w:val="000000" w:themeColor="text1"/>
        </w:rPr>
        <w:t>.</w:t>
      </w:r>
      <w:proofErr w:type="gramEnd"/>
      <w:r w:rsidR="00614403" w:rsidRPr="003D7939">
        <w:rPr>
          <w:rFonts w:ascii="Times New Roman" w:hAnsi="Times New Roman" w:cs="Times New Roman"/>
          <w:snapToGrid w:val="0"/>
          <w:color w:val="000000" w:themeColor="text1"/>
        </w:rPr>
        <w:t xml:space="preserve"> </w:t>
      </w:r>
      <w:r w:rsidRPr="003D7939">
        <w:rPr>
          <w:rFonts w:ascii="Times New Roman" w:hAnsi="Times New Roman" w:cs="Times New Roman"/>
          <w:snapToGrid w:val="0"/>
          <w:color w:val="000000" w:themeColor="text1"/>
        </w:rPr>
        <w:t xml:space="preserve"> </w:t>
      </w:r>
    </w:p>
    <w:p w:rsidR="00F25E2F" w:rsidRPr="003D7939" w:rsidRDefault="00F25E2F" w:rsidP="00382356">
      <w:pPr>
        <w:ind w:right="52"/>
        <w:jc w:val="both"/>
        <w:rPr>
          <w:rFonts w:ascii="Times New Roman" w:hAnsi="Times New Roman" w:cs="Times New Roman"/>
          <w:b/>
          <w:snapToGrid w:val="0"/>
          <w:color w:val="000000" w:themeColor="text1"/>
        </w:rPr>
      </w:pPr>
    </w:p>
    <w:p w:rsidR="00F25E2F" w:rsidRPr="003D7939" w:rsidRDefault="00BF1CC1" w:rsidP="00382356">
      <w:pPr>
        <w:ind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Az </w:t>
      </w:r>
      <w:r w:rsidRPr="003D7939">
        <w:rPr>
          <w:rFonts w:ascii="Times New Roman" w:hAnsi="Times New Roman" w:cs="Times New Roman"/>
          <w:b/>
          <w:snapToGrid w:val="0"/>
          <w:color w:val="000000" w:themeColor="text1"/>
        </w:rPr>
        <w:t>irányelv 2. cikke</w:t>
      </w:r>
      <w:r w:rsidRPr="003D7939">
        <w:rPr>
          <w:rFonts w:ascii="Times New Roman" w:hAnsi="Times New Roman" w:cs="Times New Roman"/>
          <w:snapToGrid w:val="0"/>
          <w:color w:val="000000" w:themeColor="text1"/>
        </w:rPr>
        <w:t xml:space="preserve"> szerint </w:t>
      </w:r>
      <w:r w:rsidRPr="003D7939">
        <w:rPr>
          <w:rFonts w:ascii="Times New Roman" w:hAnsi="Times New Roman" w:cs="Times New Roman"/>
          <w:b/>
        </w:rPr>
        <w:t>termék minden ingó dolog</w:t>
      </w:r>
      <w:r w:rsidRPr="003D7939">
        <w:rPr>
          <w:rFonts w:ascii="Times New Roman" w:hAnsi="Times New Roman" w:cs="Times New Roman"/>
        </w:rPr>
        <w:t xml:space="preserve">, </w:t>
      </w:r>
      <w:r w:rsidRPr="003D7939">
        <w:rPr>
          <w:rFonts w:ascii="Times New Roman" w:hAnsi="Times New Roman" w:cs="Times New Roman"/>
          <w:b/>
        </w:rPr>
        <w:t>kivéve az elsődleges mezőgazdasági termékeket és a vadászati termékeket, akkor is, ha azok más ingó vagy ingatlan dolog részét alkotják</w:t>
      </w:r>
      <w:r w:rsidRPr="003D7939">
        <w:rPr>
          <w:rFonts w:ascii="Times New Roman" w:hAnsi="Times New Roman" w:cs="Times New Roman"/>
        </w:rPr>
        <w:t xml:space="preserve">. Elsődleges mezőgazdasági termék a termőföld, az állattenyésztés és a halászat termékei, kivéve azokat a termékeket, amelyek kezdeti feldolgozáson mentek keresztül. A termék fogalma </w:t>
      </w:r>
      <w:r w:rsidRPr="003D7939">
        <w:rPr>
          <w:rFonts w:ascii="Times New Roman" w:hAnsi="Times New Roman" w:cs="Times New Roman"/>
          <w:b/>
        </w:rPr>
        <w:t>magában foglalja a villamos energiát is</w:t>
      </w:r>
      <w:r w:rsidRPr="003D7939">
        <w:rPr>
          <w:rFonts w:ascii="Times New Roman" w:hAnsi="Times New Roman" w:cs="Times New Roman"/>
        </w:rPr>
        <w:t xml:space="preserve">. </w:t>
      </w:r>
      <w:r w:rsidR="00F25E2F" w:rsidRPr="003D7939">
        <w:rPr>
          <w:rFonts w:ascii="Times New Roman" w:hAnsi="Times New Roman" w:cs="Times New Roman"/>
          <w:color w:val="000000" w:themeColor="text1"/>
        </w:rPr>
        <w:t xml:space="preserve">Az irányelvi szabályozásnak megfelelően terméknek minősül jelenleg a </w:t>
      </w:r>
      <w:r w:rsidR="00F25E2F" w:rsidRPr="003D7939">
        <w:rPr>
          <w:rFonts w:ascii="Times New Roman" w:hAnsi="Times New Roman" w:cs="Times New Roman"/>
          <w:b/>
          <w:color w:val="000000" w:themeColor="text1"/>
        </w:rPr>
        <w:t>Ptk. 6:551. §</w:t>
      </w:r>
      <w:r w:rsidR="00F25E2F" w:rsidRPr="003D7939">
        <w:rPr>
          <w:rFonts w:ascii="Times New Roman" w:hAnsi="Times New Roman" w:cs="Times New Roman"/>
          <w:color w:val="000000" w:themeColor="text1"/>
        </w:rPr>
        <w:t xml:space="preserve"> alapján </w:t>
      </w:r>
      <w:r w:rsidR="00F25E2F" w:rsidRPr="003D7939">
        <w:rPr>
          <w:rFonts w:ascii="Times New Roman" w:hAnsi="Times New Roman" w:cs="Times New Roman"/>
          <w:b/>
          <w:color w:val="000000" w:themeColor="text1"/>
        </w:rPr>
        <w:t>minden ingó dolog</w:t>
      </w:r>
      <w:r w:rsidR="00F25E2F" w:rsidRPr="003D7939">
        <w:rPr>
          <w:rFonts w:ascii="Times New Roman" w:hAnsi="Times New Roman" w:cs="Times New Roman"/>
          <w:color w:val="000000" w:themeColor="text1"/>
        </w:rPr>
        <w:t xml:space="preserve">, akkor is, ha utóbb más dolog alkotórészévé vált.  Ebből a fogalom-meghatározásból is következik, hogy </w:t>
      </w:r>
      <w:r w:rsidR="00F25E2F" w:rsidRPr="003D7939">
        <w:rPr>
          <w:rFonts w:ascii="Times New Roman" w:hAnsi="Times New Roman" w:cs="Times New Roman"/>
          <w:snapToGrid w:val="0"/>
          <w:color w:val="000000" w:themeColor="text1"/>
        </w:rPr>
        <w:t>a termék fogalma nem terjed ki az ingatlanokra</w:t>
      </w:r>
      <w:r w:rsidR="00F82CE8">
        <w:rPr>
          <w:rFonts w:ascii="Times New Roman" w:hAnsi="Times New Roman" w:cs="Times New Roman"/>
          <w:snapToGrid w:val="0"/>
          <w:color w:val="000000" w:themeColor="text1"/>
        </w:rPr>
        <w:t>;</w:t>
      </w:r>
      <w:r w:rsidR="00F25E2F" w:rsidRPr="003D7939">
        <w:rPr>
          <w:rFonts w:ascii="Times New Roman" w:hAnsi="Times New Roman" w:cs="Times New Roman"/>
          <w:snapToGrid w:val="0"/>
          <w:color w:val="000000" w:themeColor="text1"/>
        </w:rPr>
        <w:t xml:space="preserve"> az ingatlan alkotórészei ugyanakkor megőrzik termékjellegüket. </w:t>
      </w:r>
    </w:p>
    <w:p w:rsidR="00F25E2F" w:rsidRPr="003D7939" w:rsidRDefault="00F25E2F" w:rsidP="00382356">
      <w:pPr>
        <w:ind w:left="12" w:right="52"/>
        <w:jc w:val="both"/>
        <w:rPr>
          <w:rFonts w:ascii="Times New Roman" w:hAnsi="Times New Roman" w:cs="Times New Roman"/>
          <w:snapToGrid w:val="0"/>
          <w:color w:val="000000" w:themeColor="text1"/>
        </w:rPr>
      </w:pPr>
    </w:p>
    <w:p w:rsidR="00F25E2F" w:rsidRPr="003D7939" w:rsidRDefault="00F25E2F"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A </w:t>
      </w:r>
      <w:r w:rsidRPr="003D7939">
        <w:rPr>
          <w:rFonts w:ascii="Times New Roman" w:hAnsi="Times New Roman" w:cs="Times New Roman"/>
          <w:b/>
          <w:snapToGrid w:val="0"/>
          <w:color w:val="000000" w:themeColor="text1"/>
        </w:rPr>
        <w:t>Ptk. 6:559. § (2) bekezdése</w:t>
      </w:r>
      <w:r w:rsidRPr="003D7939">
        <w:rPr>
          <w:rFonts w:ascii="Times New Roman" w:hAnsi="Times New Roman" w:cs="Times New Roman"/>
          <w:snapToGrid w:val="0"/>
          <w:color w:val="000000" w:themeColor="text1"/>
        </w:rPr>
        <w:t xml:space="preserve"> alapján </w:t>
      </w:r>
      <w:r w:rsidRPr="003D7939">
        <w:rPr>
          <w:rFonts w:ascii="Times New Roman" w:hAnsi="Times New Roman" w:cs="Times New Roman"/>
          <w:b/>
          <w:snapToGrid w:val="0"/>
          <w:color w:val="000000" w:themeColor="text1"/>
        </w:rPr>
        <w:t>nem alkalmazhatók</w:t>
      </w:r>
      <w:r w:rsidRPr="003D7939">
        <w:rPr>
          <w:rFonts w:ascii="Times New Roman" w:hAnsi="Times New Roman" w:cs="Times New Roman"/>
          <w:snapToGrid w:val="0"/>
          <w:color w:val="000000" w:themeColor="text1"/>
        </w:rPr>
        <w:t xml:space="preserve"> a termékfelelősségi szabályok </w:t>
      </w:r>
      <w:r w:rsidRPr="003D7939">
        <w:rPr>
          <w:rFonts w:ascii="Times New Roman" w:hAnsi="Times New Roman" w:cs="Times New Roman"/>
          <w:b/>
        </w:rPr>
        <w:t>az atomenergiáról szóló törvényben meghatározott károkra</w:t>
      </w:r>
      <w:r w:rsidRPr="003D7939">
        <w:rPr>
          <w:rFonts w:ascii="Times New Roman" w:hAnsi="Times New Roman" w:cs="Times New Roman"/>
        </w:rPr>
        <w:t xml:space="preserve">, továbbá az </w:t>
      </w:r>
      <w:r w:rsidRPr="003D7939">
        <w:rPr>
          <w:rFonts w:ascii="Times New Roman" w:hAnsi="Times New Roman" w:cs="Times New Roman"/>
          <w:b/>
        </w:rPr>
        <w:t>olyan nukleáris balesetek által okozott károkra</w:t>
      </w:r>
      <w:r w:rsidRPr="003D7939">
        <w:rPr>
          <w:rFonts w:ascii="Times New Roman" w:hAnsi="Times New Roman" w:cs="Times New Roman"/>
        </w:rPr>
        <w:t xml:space="preserve">, amelyeket a Magyar Köztársaság által ratifikált </w:t>
      </w:r>
      <w:r w:rsidRPr="003D7939">
        <w:rPr>
          <w:rFonts w:ascii="Times New Roman" w:hAnsi="Times New Roman" w:cs="Times New Roman"/>
          <w:b/>
        </w:rPr>
        <w:t xml:space="preserve">nemzetközi egyezmények </w:t>
      </w:r>
      <w:proofErr w:type="gramStart"/>
      <w:r w:rsidRPr="003D7939">
        <w:rPr>
          <w:rFonts w:ascii="Times New Roman" w:hAnsi="Times New Roman" w:cs="Times New Roman"/>
          <w:b/>
        </w:rPr>
        <w:t>rendeznek</w:t>
      </w:r>
      <w:r w:rsidR="00DF3FCD" w:rsidRPr="003D7939">
        <w:rPr>
          <w:rStyle w:val="Lbjegyzet-hivatkozs"/>
          <w:rFonts w:ascii="Times New Roman" w:hAnsi="Times New Roman" w:cs="Times New Roman"/>
        </w:rPr>
        <w:footnoteReference w:id="8"/>
      </w:r>
      <w:r w:rsidRPr="003D7939">
        <w:rPr>
          <w:rFonts w:ascii="Times New Roman" w:hAnsi="Times New Roman" w:cs="Times New Roman"/>
        </w:rPr>
        <w:t>.</w:t>
      </w:r>
      <w:proofErr w:type="gramEnd"/>
    </w:p>
    <w:p w:rsidR="00F25E2F" w:rsidRDefault="00F25E2F" w:rsidP="00382356">
      <w:pPr>
        <w:ind w:left="12" w:right="52"/>
        <w:jc w:val="both"/>
        <w:rPr>
          <w:rFonts w:ascii="Times New Roman" w:hAnsi="Times New Roman" w:cs="Times New Roman"/>
          <w:color w:val="000000" w:themeColor="text1"/>
        </w:rPr>
      </w:pPr>
    </w:p>
    <w:p w:rsidR="002613FC" w:rsidRPr="007C3CEF" w:rsidRDefault="002613FC" w:rsidP="002613FC">
      <w:pPr>
        <w:pStyle w:val="Cmsor2"/>
        <w:spacing w:before="0"/>
        <w:rPr>
          <w:rFonts w:ascii="Times New Roman" w:hAnsi="Times New Roman" w:cs="Times New Roman"/>
          <w:bCs w:val="0"/>
          <w:color w:val="000000" w:themeColor="text1"/>
        </w:rPr>
      </w:pPr>
      <w:r w:rsidRPr="007C3CEF">
        <w:rPr>
          <w:rFonts w:ascii="Times New Roman" w:hAnsi="Times New Roman" w:cs="Times New Roman"/>
          <w:bCs w:val="0"/>
          <w:color w:val="000000" w:themeColor="text1"/>
        </w:rPr>
        <w:t>3.</w:t>
      </w:r>
      <w:r>
        <w:rPr>
          <w:rFonts w:ascii="Times New Roman" w:hAnsi="Times New Roman" w:cs="Times New Roman"/>
          <w:bCs w:val="0"/>
          <w:color w:val="000000" w:themeColor="text1"/>
        </w:rPr>
        <w:t>2</w:t>
      </w:r>
      <w:r w:rsidRPr="007C3CEF">
        <w:rPr>
          <w:rFonts w:ascii="Times New Roman" w:hAnsi="Times New Roman" w:cs="Times New Roman"/>
          <w:bCs w:val="0"/>
          <w:color w:val="000000" w:themeColor="text1"/>
        </w:rPr>
        <w:t>. A termékkár</w:t>
      </w:r>
    </w:p>
    <w:p w:rsidR="002613FC" w:rsidRPr="003D7939" w:rsidRDefault="002613FC" w:rsidP="002613FC">
      <w:pPr>
        <w:ind w:left="12" w:right="52"/>
        <w:jc w:val="both"/>
        <w:rPr>
          <w:rFonts w:ascii="Times New Roman" w:hAnsi="Times New Roman" w:cs="Times New Roman"/>
          <w:color w:val="000000" w:themeColor="text1"/>
        </w:rPr>
      </w:pPr>
    </w:p>
    <w:p w:rsidR="002613FC" w:rsidRPr="003D7939" w:rsidRDefault="002613FC" w:rsidP="002613FC">
      <w:pPr>
        <w:jc w:val="both"/>
        <w:rPr>
          <w:rFonts w:ascii="Times New Roman" w:hAnsi="Times New Roman" w:cs="Times New Roman"/>
          <w:b/>
          <w:bCs/>
        </w:rPr>
      </w:pPr>
      <w:r w:rsidRPr="003D7939">
        <w:rPr>
          <w:rFonts w:ascii="Times New Roman" w:hAnsi="Times New Roman" w:cs="Times New Roman"/>
          <w:color w:val="000000" w:themeColor="text1"/>
        </w:rPr>
        <w:t xml:space="preserve">Kérdéses, hogy a </w:t>
      </w:r>
      <w:r w:rsidRPr="003D7939">
        <w:rPr>
          <w:rFonts w:ascii="Times New Roman" w:hAnsi="Times New Roman" w:cs="Times New Roman"/>
        </w:rPr>
        <w:t>törvény alkalmazása szempontjából mi minősül kárnak.</w:t>
      </w:r>
      <w:r w:rsidRPr="003D7939">
        <w:rPr>
          <w:rFonts w:ascii="Times New Roman" w:hAnsi="Times New Roman" w:cs="Times New Roman"/>
          <w:color w:val="000000" w:themeColor="text1"/>
        </w:rPr>
        <w:t xml:space="preserve"> A </w:t>
      </w:r>
      <w:r w:rsidRPr="003D7939">
        <w:rPr>
          <w:rFonts w:ascii="Times New Roman" w:hAnsi="Times New Roman" w:cs="Times New Roman"/>
          <w:b/>
          <w:color w:val="000000" w:themeColor="text1"/>
        </w:rPr>
        <w:t>Ptk. 6:552. § a termékkár fogalmát két esetkörre bontja</w:t>
      </w:r>
      <w:r w:rsidRPr="003D7939">
        <w:rPr>
          <w:rFonts w:ascii="Times New Roman" w:hAnsi="Times New Roman" w:cs="Times New Roman"/>
          <w:color w:val="000000" w:themeColor="text1"/>
        </w:rPr>
        <w:t xml:space="preserve"> (összhangban az irányelv 9. cikkében foglaltakkal). </w:t>
      </w:r>
      <w:r w:rsidRPr="003D7939">
        <w:rPr>
          <w:rFonts w:ascii="Times New Roman" w:hAnsi="Times New Roman" w:cs="Times New Roman"/>
        </w:rPr>
        <w:t>Ezek az ún. „következménykárok", amelyek a termék hibája folytán következtek be, azonban magának a terméknek a hibájával kapcsolatban a termékfelelősségi szabályok nem alkalmazhatóak (</w:t>
      </w:r>
      <w:r w:rsidRPr="003D7939">
        <w:rPr>
          <w:rFonts w:ascii="Times New Roman" w:hAnsi="Times New Roman" w:cs="Times New Roman"/>
          <w:i/>
        </w:rPr>
        <w:t>Pesti Központi Kerületi Bíróság 30</w:t>
      </w:r>
      <w:proofErr w:type="gramStart"/>
      <w:r w:rsidRPr="003D7939">
        <w:rPr>
          <w:rFonts w:ascii="Times New Roman" w:hAnsi="Times New Roman" w:cs="Times New Roman"/>
          <w:i/>
        </w:rPr>
        <w:t>.P.</w:t>
      </w:r>
      <w:proofErr w:type="gramEnd"/>
      <w:r w:rsidRPr="003D7939">
        <w:rPr>
          <w:rFonts w:ascii="Times New Roman" w:hAnsi="Times New Roman" w:cs="Times New Roman"/>
          <w:i/>
        </w:rPr>
        <w:t xml:space="preserve"> 89692/2004/92., Bács-Kiskun Megyei Bíróság </w:t>
      </w:r>
      <w:r w:rsidRPr="003D7939">
        <w:rPr>
          <w:rFonts w:ascii="Times New Roman" w:hAnsi="Times New Roman" w:cs="Times New Roman"/>
          <w:bCs/>
          <w:i/>
          <w:kern w:val="1"/>
        </w:rPr>
        <w:t>14</w:t>
      </w:r>
      <w:proofErr w:type="gramStart"/>
      <w:r w:rsidRPr="003D7939">
        <w:rPr>
          <w:rFonts w:ascii="Times New Roman" w:hAnsi="Times New Roman" w:cs="Times New Roman"/>
          <w:bCs/>
          <w:i/>
          <w:kern w:val="1"/>
        </w:rPr>
        <w:t>.P.</w:t>
      </w:r>
      <w:proofErr w:type="gramEnd"/>
      <w:r w:rsidRPr="003D7939">
        <w:rPr>
          <w:rFonts w:ascii="Times New Roman" w:hAnsi="Times New Roman" w:cs="Times New Roman"/>
          <w:bCs/>
          <w:i/>
          <w:kern w:val="1"/>
        </w:rPr>
        <w:t xml:space="preserve">21.945/2010/24., </w:t>
      </w:r>
      <w:r w:rsidRPr="003D7939">
        <w:rPr>
          <w:rFonts w:ascii="Times New Roman" w:hAnsi="Times New Roman" w:cs="Times New Roman"/>
          <w:i/>
          <w:color w:val="000000" w:themeColor="text1"/>
        </w:rPr>
        <w:t xml:space="preserve">Fővárosi Bíróság </w:t>
      </w:r>
      <w:r w:rsidRPr="003D7939">
        <w:rPr>
          <w:rFonts w:ascii="Times New Roman" w:hAnsi="Times New Roman" w:cs="Times New Roman"/>
          <w:i/>
          <w:color w:val="000000"/>
        </w:rPr>
        <w:t>57. Pf. 637 860/2007/5.</w:t>
      </w:r>
      <w:r w:rsidRPr="003D7939">
        <w:rPr>
          <w:rFonts w:ascii="Times New Roman" w:hAnsi="Times New Roman" w:cs="Times New Roman"/>
          <w:i/>
        </w:rPr>
        <w:t>).</w:t>
      </w:r>
    </w:p>
    <w:p w:rsidR="002613FC" w:rsidRPr="003D7939" w:rsidRDefault="002613FC" w:rsidP="002613FC">
      <w:pPr>
        <w:pStyle w:val="NormlWeb"/>
        <w:spacing w:before="0" w:beforeAutospacing="0" w:after="0" w:afterAutospacing="0"/>
        <w:ind w:right="71"/>
        <w:jc w:val="both"/>
        <w:rPr>
          <w:color w:val="000000" w:themeColor="text1"/>
        </w:rPr>
      </w:pPr>
    </w:p>
    <w:p w:rsidR="002613FC" w:rsidRPr="003D7939" w:rsidRDefault="002613FC" w:rsidP="002613FC">
      <w:pPr>
        <w:pStyle w:val="NormlWeb"/>
        <w:spacing w:before="0" w:beforeAutospacing="0" w:after="0" w:afterAutospacing="0"/>
        <w:ind w:right="71"/>
        <w:jc w:val="both"/>
        <w:rPr>
          <w:color w:val="000000" w:themeColor="text1"/>
        </w:rPr>
      </w:pPr>
      <w:r w:rsidRPr="003D7939">
        <w:rPr>
          <w:color w:val="000000" w:themeColor="text1"/>
        </w:rPr>
        <w:lastRenderedPageBreak/>
        <w:t>A termékkár a Ptk. normaszövege szerint így</w:t>
      </w:r>
    </w:p>
    <w:p w:rsidR="002613FC" w:rsidRPr="003D7939" w:rsidRDefault="002613FC" w:rsidP="002613FC">
      <w:pPr>
        <w:pStyle w:val="NormlWeb"/>
        <w:numPr>
          <w:ilvl w:val="0"/>
          <w:numId w:val="40"/>
        </w:numPr>
        <w:spacing w:before="0" w:beforeAutospacing="0" w:after="0" w:afterAutospacing="0"/>
        <w:ind w:right="71"/>
        <w:jc w:val="both"/>
      </w:pPr>
      <w:r w:rsidRPr="003D7939">
        <w:t xml:space="preserve">valakinek a </w:t>
      </w:r>
      <w:r w:rsidRPr="003D7939">
        <w:rPr>
          <w:b/>
        </w:rPr>
        <w:t xml:space="preserve">hibás termék által okozott halála, testi sérülése vagy egészségkárosodása miatt bekövetkezett </w:t>
      </w:r>
      <w:proofErr w:type="gramStart"/>
      <w:r w:rsidRPr="003D7939">
        <w:rPr>
          <w:b/>
        </w:rPr>
        <w:t>kár</w:t>
      </w:r>
      <w:r w:rsidRPr="003D7939">
        <w:rPr>
          <w:rStyle w:val="Lbjegyzet-hivatkozs"/>
        </w:rPr>
        <w:footnoteReference w:id="9"/>
      </w:r>
      <w:r w:rsidRPr="003D7939">
        <w:t>;</w:t>
      </w:r>
      <w:proofErr w:type="gramEnd"/>
      <w:r w:rsidRPr="003D7939">
        <w:t xml:space="preserve"> és</w:t>
      </w:r>
      <w:bookmarkStart w:id="17" w:name="pr6512"/>
      <w:bookmarkEnd w:id="17"/>
    </w:p>
    <w:p w:rsidR="002613FC" w:rsidRPr="003D7939" w:rsidRDefault="002613FC" w:rsidP="002613FC">
      <w:pPr>
        <w:pStyle w:val="NormlWeb"/>
        <w:numPr>
          <w:ilvl w:val="0"/>
          <w:numId w:val="40"/>
        </w:numPr>
        <w:spacing w:before="0" w:beforeAutospacing="0" w:after="0" w:afterAutospacing="0"/>
        <w:ind w:right="71"/>
        <w:jc w:val="both"/>
      </w:pPr>
      <w:r w:rsidRPr="003D7939">
        <w:t xml:space="preserve">a hibás termék által </w:t>
      </w:r>
      <w:r w:rsidRPr="003D7939">
        <w:rPr>
          <w:b/>
        </w:rPr>
        <w:t>más dolgokban okozott</w:t>
      </w:r>
      <w:r w:rsidRPr="003D7939">
        <w:t xml:space="preserve">, a kár bekövetkeztekor </w:t>
      </w:r>
      <w:r w:rsidRPr="003D7939">
        <w:rPr>
          <w:b/>
        </w:rPr>
        <w:t>ötszáz eurónak</w:t>
      </w:r>
      <w:r w:rsidRPr="003D7939">
        <w:rPr>
          <w:rStyle w:val="Lbjegyzet-hivatkozs"/>
        </w:rPr>
        <w:footnoteReference w:id="10"/>
      </w:r>
      <w:r w:rsidRPr="003D7939">
        <w:t xml:space="preserve"> a Magyar Nemzeti Bank hivatalos devizaárfolyama szerinti </w:t>
      </w:r>
      <w:r w:rsidRPr="003D7939">
        <w:rPr>
          <w:b/>
        </w:rPr>
        <w:t>forintösszegénél</w:t>
      </w:r>
      <w:r w:rsidRPr="003D7939">
        <w:t xml:space="preserve"> </w:t>
      </w:r>
      <w:r w:rsidRPr="003D7939">
        <w:rPr>
          <w:b/>
        </w:rPr>
        <w:t xml:space="preserve">nagyobb összegű </w:t>
      </w:r>
      <w:proofErr w:type="gramStart"/>
      <w:r w:rsidRPr="003D7939">
        <w:rPr>
          <w:b/>
        </w:rPr>
        <w:t>kár</w:t>
      </w:r>
      <w:r w:rsidRPr="003D7939">
        <w:rPr>
          <w:rStyle w:val="Lbjegyzet-hivatkozs"/>
        </w:rPr>
        <w:footnoteReference w:id="11"/>
      </w:r>
      <w:r w:rsidRPr="003D7939">
        <w:t>,</w:t>
      </w:r>
      <w:proofErr w:type="gramEnd"/>
      <w:r w:rsidRPr="003D7939">
        <w:t xml:space="preserve"> ha a károsodott dolog szokásos rendeltetése szerint </w:t>
      </w:r>
      <w:r w:rsidRPr="003D7939">
        <w:rPr>
          <w:b/>
        </w:rPr>
        <w:t>magánhasználat vagy magánfogyasztás tárgya</w:t>
      </w:r>
      <w:r w:rsidRPr="003D7939">
        <w:t xml:space="preserve">, és azt a </w:t>
      </w:r>
      <w:r w:rsidRPr="003D7939">
        <w:rPr>
          <w:b/>
        </w:rPr>
        <w:t>károsult</w:t>
      </w:r>
      <w:r w:rsidRPr="003D7939">
        <w:t xml:space="preserve"> is </w:t>
      </w:r>
      <w:r w:rsidRPr="003D7939">
        <w:rPr>
          <w:b/>
        </w:rPr>
        <w:t>rendszerint ilyen célra használta</w:t>
      </w:r>
      <w:r w:rsidRPr="003D7939">
        <w:rPr>
          <w:rStyle w:val="Lbjegyzet-hivatkozs"/>
        </w:rPr>
        <w:footnoteReference w:id="12"/>
      </w:r>
      <w:r w:rsidRPr="003D7939">
        <w:t>.</w:t>
      </w:r>
    </w:p>
    <w:p w:rsidR="002613FC" w:rsidRPr="003D7939" w:rsidRDefault="002613FC" w:rsidP="002613FC">
      <w:pPr>
        <w:ind w:right="52"/>
        <w:jc w:val="both"/>
        <w:rPr>
          <w:rFonts w:ascii="Times New Roman" w:hAnsi="Times New Roman" w:cs="Times New Roman"/>
          <w:color w:val="000000" w:themeColor="text1"/>
        </w:rPr>
      </w:pPr>
    </w:p>
    <w:p w:rsidR="002613FC" w:rsidRPr="003D7939" w:rsidRDefault="002613FC" w:rsidP="002613FC">
      <w:pPr>
        <w:jc w:val="both"/>
        <w:rPr>
          <w:rFonts w:ascii="Times New Roman" w:hAnsi="Times New Roman" w:cs="Times New Roman"/>
        </w:rPr>
      </w:pPr>
      <w:r w:rsidRPr="003D7939">
        <w:rPr>
          <w:rFonts w:ascii="Times New Roman" w:hAnsi="Times New Roman" w:cs="Times New Roman"/>
        </w:rPr>
        <w:t>A kártérítési kötelezettség szűkebb, mint a Ptk. szerinti teljes kártérítés (</w:t>
      </w:r>
      <w:r w:rsidRPr="003D7939">
        <w:rPr>
          <w:rFonts w:ascii="Times New Roman" w:hAnsi="Times New Roman" w:cs="Times New Roman"/>
          <w:i/>
        </w:rPr>
        <w:t xml:space="preserve">Szegedi Ítélőtábla </w:t>
      </w:r>
      <w:r w:rsidRPr="003D7939">
        <w:rPr>
          <w:rFonts w:ascii="Times New Roman" w:hAnsi="Times New Roman" w:cs="Times New Roman"/>
          <w:bCs/>
          <w:i/>
        </w:rPr>
        <w:t>Pf.I.20.724/2011/6.)</w:t>
      </w:r>
      <w:r w:rsidRPr="003D7939">
        <w:rPr>
          <w:rFonts w:ascii="Times New Roman" w:hAnsi="Times New Roman" w:cs="Times New Roman"/>
          <w:i/>
        </w:rPr>
        <w:t xml:space="preserve">. </w:t>
      </w:r>
      <w:r w:rsidRPr="003D7939">
        <w:rPr>
          <w:rFonts w:ascii="Times New Roman" w:hAnsi="Times New Roman" w:cs="Times New Roman"/>
        </w:rPr>
        <w:t>Termékfelelősségen alapuló kárigényként egyébként elmaradt vagyoni előny, továbbá a vagyoni és nem vagyoni hátrány csökkentéséhez vagy kiküszöböléséhez szükséges költségek nem érvényesíthetőek. Ilyen kár megtérítés</w:t>
      </w:r>
      <w:r>
        <w:rPr>
          <w:rFonts w:ascii="Times New Roman" w:hAnsi="Times New Roman" w:cs="Times New Roman"/>
        </w:rPr>
        <w:t>e</w:t>
      </w:r>
      <w:r w:rsidRPr="003D7939">
        <w:rPr>
          <w:rFonts w:ascii="Times New Roman" w:hAnsi="Times New Roman" w:cs="Times New Roman"/>
        </w:rPr>
        <w:t xml:space="preserve"> a gyártótól, importálótól is csak a Ptk. szerződésen kívüli, felróhatóságon alapuló kártérítési szabályai szerint követelhető (</w:t>
      </w:r>
      <w:r w:rsidRPr="003D7939">
        <w:rPr>
          <w:rFonts w:ascii="Times New Roman" w:hAnsi="Times New Roman" w:cs="Times New Roman"/>
          <w:i/>
        </w:rPr>
        <w:t>Debreceni Ítélőtábla Pf.II.20.282/2014/6.</w:t>
      </w:r>
      <w:r w:rsidRPr="003D7939">
        <w:rPr>
          <w:rFonts w:ascii="Times New Roman" w:hAnsi="Times New Roman" w:cs="Times New Roman"/>
        </w:rPr>
        <w:t xml:space="preserve">). </w:t>
      </w:r>
    </w:p>
    <w:p w:rsidR="002613FC" w:rsidRPr="003D7939" w:rsidRDefault="002613FC" w:rsidP="00382356">
      <w:pPr>
        <w:ind w:left="12" w:right="52"/>
        <w:jc w:val="both"/>
        <w:rPr>
          <w:rFonts w:ascii="Times New Roman" w:hAnsi="Times New Roman" w:cs="Times New Roman"/>
          <w:color w:val="000000" w:themeColor="text1"/>
        </w:rPr>
      </w:pPr>
    </w:p>
    <w:p w:rsidR="00066FA0" w:rsidRPr="007C3CEF" w:rsidRDefault="00A16E88" w:rsidP="00382356">
      <w:pPr>
        <w:pStyle w:val="Cmsor2"/>
        <w:spacing w:before="0"/>
        <w:rPr>
          <w:rFonts w:ascii="Times New Roman" w:hAnsi="Times New Roman" w:cs="Times New Roman"/>
          <w:bCs w:val="0"/>
          <w:color w:val="000000" w:themeColor="text1"/>
          <w:sz w:val="24"/>
          <w:szCs w:val="24"/>
        </w:rPr>
      </w:pPr>
      <w:r w:rsidRPr="007C3CEF">
        <w:rPr>
          <w:rFonts w:ascii="Times New Roman" w:hAnsi="Times New Roman" w:cs="Times New Roman"/>
          <w:bCs w:val="0"/>
          <w:color w:val="000000" w:themeColor="text1"/>
          <w:sz w:val="24"/>
          <w:szCs w:val="24"/>
        </w:rPr>
        <w:t>3.</w:t>
      </w:r>
      <w:r w:rsidR="002613FC">
        <w:rPr>
          <w:rFonts w:ascii="Times New Roman" w:hAnsi="Times New Roman" w:cs="Times New Roman"/>
          <w:bCs w:val="0"/>
          <w:color w:val="000000" w:themeColor="text1"/>
          <w:sz w:val="24"/>
          <w:szCs w:val="24"/>
        </w:rPr>
        <w:t>3</w:t>
      </w:r>
      <w:r w:rsidR="00B64FC7" w:rsidRPr="007C3CEF">
        <w:rPr>
          <w:rFonts w:ascii="Times New Roman" w:hAnsi="Times New Roman" w:cs="Times New Roman"/>
          <w:bCs w:val="0"/>
          <w:color w:val="000000" w:themeColor="text1"/>
          <w:sz w:val="24"/>
          <w:szCs w:val="24"/>
        </w:rPr>
        <w:t xml:space="preserve">. </w:t>
      </w:r>
      <w:r w:rsidR="002E35FE" w:rsidRPr="007C3CEF">
        <w:rPr>
          <w:rFonts w:ascii="Times New Roman" w:hAnsi="Times New Roman" w:cs="Times New Roman"/>
          <w:bCs w:val="0"/>
          <w:color w:val="000000" w:themeColor="text1"/>
          <w:sz w:val="24"/>
          <w:szCs w:val="24"/>
        </w:rPr>
        <w:t>A gyártó</w:t>
      </w:r>
    </w:p>
    <w:p w:rsidR="00066FA0" w:rsidRPr="003D7939" w:rsidRDefault="00066FA0" w:rsidP="00382356">
      <w:pPr>
        <w:ind w:left="12" w:right="52"/>
        <w:jc w:val="both"/>
        <w:rPr>
          <w:rFonts w:ascii="Times New Roman" w:hAnsi="Times New Roman" w:cs="Times New Roman"/>
          <w:color w:val="000000" w:themeColor="text1"/>
        </w:rPr>
      </w:pPr>
    </w:p>
    <w:p w:rsidR="00105E27" w:rsidRPr="003D7939" w:rsidRDefault="00B64FC7"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A </w:t>
      </w:r>
      <w:r w:rsidRPr="003D7939">
        <w:rPr>
          <w:rFonts w:ascii="Times New Roman" w:hAnsi="Times New Roman" w:cs="Times New Roman"/>
          <w:b/>
          <w:color w:val="000000" w:themeColor="text1"/>
        </w:rPr>
        <w:t>termékfelelősség</w:t>
      </w:r>
      <w:r w:rsidR="00E020EB" w:rsidRPr="003D7939">
        <w:rPr>
          <w:rFonts w:ascii="Times New Roman" w:hAnsi="Times New Roman" w:cs="Times New Roman"/>
          <w:color w:val="000000" w:themeColor="text1"/>
        </w:rPr>
        <w:t>, mint</w:t>
      </w:r>
      <w:r w:rsidRPr="003D7939">
        <w:rPr>
          <w:rFonts w:ascii="Times New Roman" w:hAnsi="Times New Roman" w:cs="Times New Roman"/>
          <w:color w:val="000000" w:themeColor="text1"/>
        </w:rPr>
        <w:t xml:space="preserve"> objektív felelősség </w:t>
      </w:r>
      <w:r w:rsidR="00F264B4" w:rsidRPr="003D7939">
        <w:rPr>
          <w:rFonts w:ascii="Times New Roman" w:hAnsi="Times New Roman" w:cs="Times New Roman"/>
          <w:color w:val="000000" w:themeColor="text1"/>
        </w:rPr>
        <w:t>- az irányelv 1.</w:t>
      </w:r>
      <w:r w:rsidR="00E85387" w:rsidRPr="003D7939">
        <w:rPr>
          <w:rFonts w:ascii="Times New Roman" w:hAnsi="Times New Roman" w:cs="Times New Roman"/>
          <w:color w:val="000000" w:themeColor="text1"/>
        </w:rPr>
        <w:t xml:space="preserve"> </w:t>
      </w:r>
      <w:r w:rsidR="00F264B4" w:rsidRPr="003D7939">
        <w:rPr>
          <w:rFonts w:ascii="Times New Roman" w:hAnsi="Times New Roman" w:cs="Times New Roman"/>
          <w:color w:val="000000" w:themeColor="text1"/>
        </w:rPr>
        <w:t xml:space="preserve">cikkével </w:t>
      </w:r>
      <w:r w:rsidR="00F264B4" w:rsidRPr="003D7939">
        <w:rPr>
          <w:rFonts w:ascii="Times New Roman" w:hAnsi="Times New Roman" w:cs="Times New Roman"/>
          <w:color w:val="000000" w:themeColor="text1"/>
        </w:rPr>
        <w:lastRenderedPageBreak/>
        <w:t xml:space="preserve">összhangban - </w:t>
      </w:r>
      <w:r w:rsidRPr="003D7939">
        <w:rPr>
          <w:rFonts w:ascii="Times New Roman" w:hAnsi="Times New Roman" w:cs="Times New Roman"/>
          <w:color w:val="000000" w:themeColor="text1"/>
        </w:rPr>
        <w:t xml:space="preserve">a </w:t>
      </w:r>
      <w:r w:rsidRPr="003D7939">
        <w:rPr>
          <w:rFonts w:ascii="Times New Roman" w:hAnsi="Times New Roman" w:cs="Times New Roman"/>
          <w:b/>
          <w:color w:val="000000" w:themeColor="text1"/>
        </w:rPr>
        <w:t>termék gyártóját terheli</w:t>
      </w:r>
      <w:r w:rsidRPr="003D7939">
        <w:rPr>
          <w:rFonts w:ascii="Times New Roman" w:hAnsi="Times New Roman" w:cs="Times New Roman"/>
          <w:color w:val="000000" w:themeColor="text1"/>
        </w:rPr>
        <w:t>.</w:t>
      </w:r>
      <w:r w:rsidR="00105E27" w:rsidRPr="003D7939">
        <w:rPr>
          <w:rFonts w:ascii="Times New Roman" w:hAnsi="Times New Roman" w:cs="Times New Roman"/>
          <w:color w:val="000000" w:themeColor="text1"/>
        </w:rPr>
        <w:t xml:space="preserve"> </w:t>
      </w:r>
    </w:p>
    <w:p w:rsidR="00105E27" w:rsidRPr="003D7939" w:rsidRDefault="00105E27" w:rsidP="00382356">
      <w:pPr>
        <w:ind w:left="12" w:right="52"/>
        <w:jc w:val="both"/>
        <w:rPr>
          <w:rFonts w:ascii="Times New Roman" w:hAnsi="Times New Roman" w:cs="Times New Roman"/>
          <w:color w:val="000000" w:themeColor="text1"/>
        </w:rPr>
      </w:pPr>
    </w:p>
    <w:p w:rsidR="00066FA0" w:rsidRPr="003D7939" w:rsidRDefault="00B64FC7" w:rsidP="00382356">
      <w:pPr>
        <w:ind w:left="12" w:right="52"/>
        <w:jc w:val="both"/>
        <w:rPr>
          <w:rFonts w:ascii="Times New Roman" w:hAnsi="Times New Roman" w:cs="Times New Roman"/>
          <w:color w:val="000000" w:themeColor="text1"/>
        </w:rPr>
      </w:pPr>
      <w:r w:rsidRPr="003D7939">
        <w:rPr>
          <w:rFonts w:ascii="Times New Roman" w:hAnsi="Times New Roman" w:cs="Times New Roman"/>
          <w:b/>
          <w:color w:val="000000" w:themeColor="text1"/>
        </w:rPr>
        <w:t>Gyártó</w:t>
      </w:r>
      <w:r w:rsidRPr="003D7939">
        <w:rPr>
          <w:rFonts w:ascii="Times New Roman" w:hAnsi="Times New Roman" w:cs="Times New Roman"/>
          <w:color w:val="000000" w:themeColor="text1"/>
        </w:rPr>
        <w:t>nak minősül</w:t>
      </w:r>
      <w:r w:rsidR="00974715" w:rsidRPr="003D7939">
        <w:rPr>
          <w:rFonts w:ascii="Times New Roman" w:hAnsi="Times New Roman" w:cs="Times New Roman"/>
          <w:color w:val="000000" w:themeColor="text1"/>
        </w:rPr>
        <w:t xml:space="preserve"> </w:t>
      </w:r>
      <w:r w:rsidR="00D31FA6" w:rsidRPr="003D7939">
        <w:rPr>
          <w:rFonts w:ascii="Times New Roman" w:hAnsi="Times New Roman" w:cs="Times New Roman"/>
          <w:color w:val="000000" w:themeColor="text1"/>
        </w:rPr>
        <w:t xml:space="preserve">- </w:t>
      </w:r>
      <w:r w:rsidR="00D31FA6" w:rsidRPr="003D7939">
        <w:rPr>
          <w:rFonts w:ascii="Times New Roman" w:hAnsi="Times New Roman" w:cs="Times New Roman"/>
          <w:b/>
          <w:color w:val="000000" w:themeColor="text1"/>
        </w:rPr>
        <w:t>összhangban</w:t>
      </w:r>
      <w:r w:rsidR="00D31FA6" w:rsidRPr="003D7939">
        <w:rPr>
          <w:rFonts w:ascii="Times New Roman" w:hAnsi="Times New Roman" w:cs="Times New Roman"/>
          <w:color w:val="000000" w:themeColor="text1"/>
        </w:rPr>
        <w:t xml:space="preserve"> az </w:t>
      </w:r>
      <w:r w:rsidR="00D31FA6" w:rsidRPr="003D7939">
        <w:rPr>
          <w:rFonts w:ascii="Times New Roman" w:hAnsi="Times New Roman" w:cs="Times New Roman"/>
          <w:b/>
          <w:color w:val="000000" w:themeColor="text1"/>
        </w:rPr>
        <w:t>irányelv 3. cikkével</w:t>
      </w:r>
      <w:r w:rsidR="00D31FA6" w:rsidRPr="003D7939">
        <w:rPr>
          <w:rFonts w:ascii="Times New Roman" w:hAnsi="Times New Roman" w:cs="Times New Roman"/>
          <w:color w:val="000000" w:themeColor="text1"/>
        </w:rPr>
        <w:t xml:space="preserve"> - </w:t>
      </w:r>
      <w:r w:rsidR="00974715" w:rsidRPr="003D7939">
        <w:rPr>
          <w:rFonts w:ascii="Times New Roman" w:hAnsi="Times New Roman" w:cs="Times New Roman"/>
          <w:color w:val="000000" w:themeColor="text1"/>
        </w:rPr>
        <w:t xml:space="preserve">a </w:t>
      </w:r>
      <w:r w:rsidR="00974715" w:rsidRPr="003D7939">
        <w:rPr>
          <w:rFonts w:ascii="Times New Roman" w:hAnsi="Times New Roman" w:cs="Times New Roman"/>
          <w:b/>
          <w:color w:val="000000" w:themeColor="text1"/>
        </w:rPr>
        <w:t>Ptk. 6:553 §</w:t>
      </w:r>
      <w:r w:rsidR="00974715" w:rsidRPr="003D7939">
        <w:rPr>
          <w:rFonts w:ascii="Times New Roman" w:hAnsi="Times New Roman" w:cs="Times New Roman"/>
          <w:color w:val="000000" w:themeColor="text1"/>
        </w:rPr>
        <w:t xml:space="preserve"> rendelkezései alapján</w:t>
      </w:r>
      <w:r w:rsidRPr="003D7939">
        <w:rPr>
          <w:rFonts w:ascii="Times New Roman" w:hAnsi="Times New Roman" w:cs="Times New Roman"/>
          <w:color w:val="000000" w:themeColor="text1"/>
        </w:rPr>
        <w:t xml:space="preserve">: </w:t>
      </w:r>
    </w:p>
    <w:p w:rsidR="00974715" w:rsidRPr="003D7939" w:rsidRDefault="00974715" w:rsidP="00382356">
      <w:pPr>
        <w:pStyle w:val="NormlWeb"/>
        <w:numPr>
          <w:ilvl w:val="0"/>
          <w:numId w:val="35"/>
        </w:numPr>
        <w:spacing w:before="0" w:beforeAutospacing="0" w:after="0" w:afterAutospacing="0"/>
        <w:ind w:right="52"/>
        <w:jc w:val="both"/>
      </w:pPr>
      <w:r w:rsidRPr="003D7939">
        <w:t xml:space="preserve">a végtermék, a résztermék, az alapanyag előállítója, </w:t>
      </w:r>
    </w:p>
    <w:p w:rsidR="00974715" w:rsidRPr="003D7939" w:rsidRDefault="00974715" w:rsidP="00382356">
      <w:pPr>
        <w:pStyle w:val="NormlWeb"/>
        <w:numPr>
          <w:ilvl w:val="0"/>
          <w:numId w:val="35"/>
        </w:numPr>
        <w:spacing w:before="0" w:beforeAutospacing="0" w:after="0" w:afterAutospacing="0"/>
        <w:ind w:right="52"/>
        <w:jc w:val="both"/>
      </w:pPr>
      <w:r w:rsidRPr="003D7939">
        <w:t>aki a terméken elhelyezett nevével, védjegyével vagy egyéb megkülönböztető jelzés alkalmazásával önmagát a termék gyártójaként tünteti fel</w:t>
      </w:r>
      <w:bookmarkStart w:id="18" w:name="pr6515"/>
      <w:bookmarkEnd w:id="18"/>
      <w:r w:rsidRPr="003D7939">
        <w:t xml:space="preserve"> (vélelmezett gyártói minőég)</w:t>
      </w:r>
    </w:p>
    <w:p w:rsidR="00974715" w:rsidRPr="003D7939" w:rsidRDefault="00974715" w:rsidP="00382356">
      <w:pPr>
        <w:pStyle w:val="NormlWeb"/>
        <w:numPr>
          <w:ilvl w:val="0"/>
          <w:numId w:val="35"/>
        </w:numPr>
        <w:spacing w:before="0" w:beforeAutospacing="0" w:after="0" w:afterAutospacing="0"/>
        <w:ind w:right="52"/>
        <w:jc w:val="both"/>
      </w:pPr>
      <w:r w:rsidRPr="003D7939">
        <w:t>importtermék esetén a terméket gazdasági tevékenysége keretében az Európai Gazdasági Térség területére behozó személy (ez a szabály nem érinti az importálónak a gyártóval szemben érvényesíthető visszkereseti igényét)</w:t>
      </w:r>
      <w:bookmarkStart w:id="19" w:name="pr6516"/>
      <w:bookmarkEnd w:id="19"/>
    </w:p>
    <w:p w:rsidR="00974715" w:rsidRPr="003D7939" w:rsidRDefault="00974715" w:rsidP="00382356">
      <w:pPr>
        <w:pStyle w:val="NormlWeb"/>
        <w:numPr>
          <w:ilvl w:val="0"/>
          <w:numId w:val="35"/>
        </w:numPr>
        <w:spacing w:before="0" w:beforeAutospacing="0" w:after="0" w:afterAutospacing="0"/>
        <w:ind w:right="52"/>
        <w:jc w:val="both"/>
      </w:pPr>
      <w:proofErr w:type="spellStart"/>
      <w:r w:rsidRPr="003D7939">
        <w:t>szubszidiárius</w:t>
      </w:r>
      <w:proofErr w:type="spellEnd"/>
      <w:r w:rsidRPr="003D7939">
        <w:t xml:space="preserve"> jelleggel, ha a termék gyártója nem állapítható meg, a termék minden forgalmazóját gyártónak kell tekinteni mindaddig, amíg a forgalmazó a gyártót vagy azt a forgalmazót, akitől a terméket beszerezte, a károsultnak meg nem nevezi, amelyre a károsult írásbeli felhívásától számított 30 napja van (ezt a szabályt importtermék esetén akkor is megfelelően alkalmazni kell, ha a termék gyártója feltüntetésre került, de az importálója nem állapítható meg)</w:t>
      </w:r>
      <w:r w:rsidRPr="003D7939">
        <w:rPr>
          <w:rStyle w:val="Lbjegyzet-hivatkozs"/>
        </w:rPr>
        <w:footnoteReference w:id="13"/>
      </w:r>
    </w:p>
    <w:p w:rsidR="002E35FE" w:rsidRPr="003D7939" w:rsidRDefault="002E35FE" w:rsidP="00382356">
      <w:pPr>
        <w:ind w:left="12" w:right="52"/>
        <w:jc w:val="both"/>
        <w:rPr>
          <w:rFonts w:ascii="Times New Roman" w:hAnsi="Times New Roman" w:cs="Times New Roman"/>
          <w:snapToGrid w:val="0"/>
          <w:color w:val="000000" w:themeColor="text1"/>
        </w:rPr>
      </w:pPr>
    </w:p>
    <w:p w:rsidR="00E74969" w:rsidRPr="003D7939" w:rsidRDefault="00E74969" w:rsidP="00382356">
      <w:pPr>
        <w:ind w:left="12" w:right="52"/>
        <w:jc w:val="both"/>
        <w:rPr>
          <w:rFonts w:ascii="Times New Roman" w:hAnsi="Times New Roman" w:cs="Times New Roman"/>
          <w:snapToGrid w:val="0"/>
          <w:color w:val="000000" w:themeColor="text1"/>
        </w:rPr>
      </w:pPr>
      <w:proofErr w:type="gramStart"/>
      <w:r w:rsidRPr="003D7939">
        <w:rPr>
          <w:rFonts w:ascii="Times New Roman" w:hAnsi="Times New Roman" w:cs="Times New Roman"/>
          <w:bCs/>
        </w:rPr>
        <w:t xml:space="preserve">Az Európai Bíróság a </w:t>
      </w:r>
      <w:r w:rsidRPr="003D7939">
        <w:rPr>
          <w:rFonts w:ascii="Times New Roman" w:hAnsi="Times New Roman" w:cs="Times New Roman"/>
          <w:b/>
        </w:rPr>
        <w:t>C</w:t>
      </w:r>
      <w:r w:rsidRPr="003D7939">
        <w:rPr>
          <w:rFonts w:ascii="Times New Roman" w:hAnsi="Times New Roman" w:cs="Times New Roman"/>
          <w:b/>
        </w:rPr>
        <w:noBreakHyphen/>
        <w:t xml:space="preserve">127/04.  számú </w:t>
      </w:r>
      <w:proofErr w:type="spellStart"/>
      <w:r w:rsidRPr="003D7939">
        <w:rPr>
          <w:rFonts w:ascii="Times New Roman" w:hAnsi="Times New Roman" w:cs="Times New Roman"/>
          <w:b/>
          <w:bCs/>
        </w:rPr>
        <w:t>Declan</w:t>
      </w:r>
      <w:proofErr w:type="spellEnd"/>
      <w:r w:rsidRPr="003D7939">
        <w:rPr>
          <w:rFonts w:ascii="Times New Roman" w:hAnsi="Times New Roman" w:cs="Times New Roman"/>
          <w:b/>
          <w:bCs/>
        </w:rPr>
        <w:t xml:space="preserve"> </w:t>
      </w:r>
      <w:proofErr w:type="spellStart"/>
      <w:r w:rsidRPr="003D7939">
        <w:rPr>
          <w:rFonts w:ascii="Times New Roman" w:hAnsi="Times New Roman" w:cs="Times New Roman"/>
          <w:b/>
          <w:bCs/>
        </w:rPr>
        <w:t>O’Byrne</w:t>
      </w:r>
      <w:proofErr w:type="spellEnd"/>
      <w:r w:rsidRPr="003D7939">
        <w:rPr>
          <w:rFonts w:ascii="Times New Roman" w:hAnsi="Times New Roman" w:cs="Times New Roman"/>
          <w:b/>
          <w:bCs/>
        </w:rPr>
        <w:t xml:space="preserve"> kontra </w:t>
      </w:r>
      <w:proofErr w:type="spellStart"/>
      <w:r w:rsidRPr="003D7939">
        <w:rPr>
          <w:rFonts w:ascii="Times New Roman" w:hAnsi="Times New Roman" w:cs="Times New Roman"/>
          <w:b/>
          <w:bCs/>
        </w:rPr>
        <w:t>Sanofi</w:t>
      </w:r>
      <w:proofErr w:type="spellEnd"/>
      <w:r w:rsidRPr="003D7939">
        <w:rPr>
          <w:rFonts w:ascii="Times New Roman" w:hAnsi="Times New Roman" w:cs="Times New Roman"/>
          <w:b/>
          <w:bCs/>
        </w:rPr>
        <w:t xml:space="preserve"> Pasteur MSD </w:t>
      </w:r>
      <w:proofErr w:type="spellStart"/>
      <w:r w:rsidRPr="003D7939">
        <w:rPr>
          <w:rFonts w:ascii="Times New Roman" w:hAnsi="Times New Roman" w:cs="Times New Roman"/>
          <w:b/>
          <w:bCs/>
        </w:rPr>
        <w:t>Ltd</w:t>
      </w:r>
      <w:proofErr w:type="spellEnd"/>
      <w:r w:rsidRPr="003D7939">
        <w:rPr>
          <w:rFonts w:ascii="Times New Roman" w:hAnsi="Times New Roman" w:cs="Times New Roman"/>
          <w:b/>
        </w:rPr>
        <w:t xml:space="preserve"> (korábban </w:t>
      </w:r>
      <w:proofErr w:type="spellStart"/>
      <w:r w:rsidRPr="003D7939">
        <w:rPr>
          <w:rFonts w:ascii="Times New Roman" w:hAnsi="Times New Roman" w:cs="Times New Roman"/>
          <w:b/>
        </w:rPr>
        <w:t>Aventis</w:t>
      </w:r>
      <w:proofErr w:type="spellEnd"/>
      <w:r w:rsidRPr="003D7939">
        <w:rPr>
          <w:rFonts w:ascii="Times New Roman" w:hAnsi="Times New Roman" w:cs="Times New Roman"/>
          <w:b/>
        </w:rPr>
        <w:t xml:space="preserve"> Pasteur MSD </w:t>
      </w:r>
      <w:proofErr w:type="spellStart"/>
      <w:r w:rsidRPr="003D7939">
        <w:rPr>
          <w:rFonts w:ascii="Times New Roman" w:hAnsi="Times New Roman" w:cs="Times New Roman"/>
          <w:b/>
        </w:rPr>
        <w:t>Ltd</w:t>
      </w:r>
      <w:proofErr w:type="spellEnd"/>
      <w:r w:rsidRPr="003D7939">
        <w:rPr>
          <w:rFonts w:ascii="Times New Roman" w:hAnsi="Times New Roman" w:cs="Times New Roman"/>
          <w:b/>
        </w:rPr>
        <w:t xml:space="preserve">), </w:t>
      </w:r>
      <w:proofErr w:type="spellStart"/>
      <w:r w:rsidRPr="003D7939">
        <w:rPr>
          <w:rFonts w:ascii="Times New Roman" w:hAnsi="Times New Roman" w:cs="Times New Roman"/>
          <w:b/>
          <w:bCs/>
        </w:rPr>
        <w:t>Sanofi</w:t>
      </w:r>
      <w:proofErr w:type="spellEnd"/>
      <w:r w:rsidRPr="003D7939">
        <w:rPr>
          <w:rFonts w:ascii="Times New Roman" w:hAnsi="Times New Roman" w:cs="Times New Roman"/>
          <w:b/>
          <w:bCs/>
        </w:rPr>
        <w:t xml:space="preserve"> Pasteur SA</w:t>
      </w:r>
      <w:r w:rsidRPr="003D7939">
        <w:rPr>
          <w:rFonts w:ascii="Times New Roman" w:hAnsi="Times New Roman" w:cs="Times New Roman"/>
          <w:b/>
        </w:rPr>
        <w:t xml:space="preserve"> (korábban </w:t>
      </w:r>
      <w:proofErr w:type="spellStart"/>
      <w:r w:rsidRPr="003D7939">
        <w:rPr>
          <w:rFonts w:ascii="Times New Roman" w:hAnsi="Times New Roman" w:cs="Times New Roman"/>
          <w:b/>
        </w:rPr>
        <w:t>Aventis</w:t>
      </w:r>
      <w:proofErr w:type="spellEnd"/>
      <w:r w:rsidRPr="003D7939">
        <w:rPr>
          <w:rFonts w:ascii="Times New Roman" w:hAnsi="Times New Roman" w:cs="Times New Roman"/>
          <w:b/>
        </w:rPr>
        <w:t xml:space="preserve"> Pasteur SA)</w:t>
      </w:r>
      <w:r w:rsidRPr="003D7939">
        <w:rPr>
          <w:rFonts w:ascii="Times New Roman" w:hAnsi="Times New Roman" w:cs="Times New Roman"/>
        </w:rPr>
        <w:t xml:space="preserve"> ügyben akként foglalt állást, hogy h</w:t>
      </w:r>
      <w:r w:rsidRPr="003D7939">
        <w:rPr>
          <w:rFonts w:ascii="Times New Roman" w:hAnsi="Times New Roman" w:cs="Times New Roman"/>
          <w:bCs/>
        </w:rPr>
        <w:t>a a termék gyártójának vélt társaság ellen tévesen indítanak keresetet, miközben a terméket valójában másik társaság gyártotta, főszabály szerint a nemzeti jognak kell megállapítania, milyen feltételek mellett lehet ilyen eljárásban valamelyik felet a perből elbocsátani, és helyette másikat megidézni.</w:t>
      </w:r>
      <w:proofErr w:type="gramEnd"/>
      <w:r w:rsidRPr="003D7939">
        <w:rPr>
          <w:rFonts w:ascii="Times New Roman" w:hAnsi="Times New Roman" w:cs="Times New Roman"/>
          <w:bCs/>
        </w:rPr>
        <w:t xml:space="preserve"> Annak megállapításakor, hogy a korábbi fél elbocsátása mellett milyen feltételekkel idézhető meg másik fél, a nemzeti bíróságnak biztosítania kell </w:t>
      </w:r>
      <w:r w:rsidR="00FD01CD" w:rsidRPr="003D7939">
        <w:rPr>
          <w:rFonts w:ascii="Times New Roman" w:hAnsi="Times New Roman" w:cs="Times New Roman"/>
          <w:bCs/>
        </w:rPr>
        <w:t xml:space="preserve">az </w:t>
      </w:r>
      <w:r w:rsidRPr="003D7939">
        <w:rPr>
          <w:rFonts w:ascii="Times New Roman" w:hAnsi="Times New Roman" w:cs="Times New Roman"/>
          <w:bCs/>
        </w:rPr>
        <w:t>irányelv – 1. és 3. cikkében megállapított – személyi hatályának érvényesülését.</w:t>
      </w:r>
    </w:p>
    <w:p w:rsidR="00E21FDA" w:rsidRPr="003D7939" w:rsidRDefault="00E21FDA" w:rsidP="00382356">
      <w:pPr>
        <w:ind w:left="12" w:right="52"/>
        <w:jc w:val="both"/>
        <w:rPr>
          <w:rFonts w:ascii="Times New Roman" w:hAnsi="Times New Roman" w:cs="Times New Roman"/>
          <w:snapToGrid w:val="0"/>
          <w:color w:val="000000" w:themeColor="text1"/>
        </w:rPr>
      </w:pPr>
    </w:p>
    <w:p w:rsidR="00066FA0" w:rsidRPr="007C3CEF" w:rsidRDefault="00A16E88" w:rsidP="00382356">
      <w:pPr>
        <w:pStyle w:val="Cmsor2"/>
        <w:spacing w:before="0"/>
        <w:rPr>
          <w:rFonts w:ascii="Times New Roman" w:hAnsi="Times New Roman" w:cs="Times New Roman"/>
          <w:bCs w:val="0"/>
          <w:color w:val="000000" w:themeColor="text1"/>
        </w:rPr>
      </w:pPr>
      <w:r w:rsidRPr="007C3CEF">
        <w:rPr>
          <w:rFonts w:ascii="Times New Roman" w:hAnsi="Times New Roman" w:cs="Times New Roman"/>
          <w:bCs w:val="0"/>
          <w:color w:val="000000" w:themeColor="text1"/>
        </w:rPr>
        <w:t>3</w:t>
      </w:r>
      <w:r w:rsidR="00B64FC7" w:rsidRPr="007C3CEF">
        <w:rPr>
          <w:rFonts w:ascii="Times New Roman" w:hAnsi="Times New Roman" w:cs="Times New Roman"/>
          <w:bCs w:val="0"/>
          <w:color w:val="000000" w:themeColor="text1"/>
        </w:rPr>
        <w:t>.</w:t>
      </w:r>
      <w:r w:rsidR="00E21FDA" w:rsidRPr="007C3CEF">
        <w:rPr>
          <w:rFonts w:ascii="Times New Roman" w:hAnsi="Times New Roman" w:cs="Times New Roman"/>
          <w:bCs w:val="0"/>
          <w:color w:val="000000" w:themeColor="text1"/>
        </w:rPr>
        <w:t>4</w:t>
      </w:r>
      <w:r w:rsidRPr="007C3CEF">
        <w:rPr>
          <w:rFonts w:ascii="Times New Roman" w:hAnsi="Times New Roman" w:cs="Times New Roman"/>
          <w:bCs w:val="0"/>
          <w:color w:val="000000" w:themeColor="text1"/>
        </w:rPr>
        <w:t>.</w:t>
      </w:r>
      <w:r w:rsidR="00B64FC7" w:rsidRPr="007C3CEF">
        <w:rPr>
          <w:rFonts w:ascii="Times New Roman" w:hAnsi="Times New Roman" w:cs="Times New Roman"/>
          <w:bCs w:val="0"/>
          <w:color w:val="000000" w:themeColor="text1"/>
        </w:rPr>
        <w:t xml:space="preserve"> A termékhiba </w:t>
      </w:r>
    </w:p>
    <w:p w:rsidR="00066FA0" w:rsidRPr="003D7939" w:rsidRDefault="00066FA0" w:rsidP="00382356">
      <w:pPr>
        <w:ind w:left="12" w:right="52"/>
        <w:jc w:val="both"/>
        <w:rPr>
          <w:rFonts w:ascii="Times New Roman" w:hAnsi="Times New Roman" w:cs="Times New Roman"/>
          <w:color w:val="000000" w:themeColor="text1"/>
        </w:rPr>
      </w:pPr>
    </w:p>
    <w:p w:rsidR="00CE6734" w:rsidRPr="003D7939" w:rsidRDefault="00CE6734"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color w:val="000000" w:themeColor="text1"/>
        </w:rPr>
        <w:t xml:space="preserve">A felelősség megállapításának kulcskérdése a termék hibája. A gyártó ugyanis a termékfelelősség alapján </w:t>
      </w:r>
      <w:r w:rsidRPr="003D7939">
        <w:rPr>
          <w:rFonts w:ascii="Times New Roman" w:hAnsi="Times New Roman" w:cs="Times New Roman"/>
          <w:snapToGrid w:val="0"/>
          <w:color w:val="000000" w:themeColor="text1"/>
        </w:rPr>
        <w:t xml:space="preserve">akkor kötelezhető a kár megtérítésre, </w:t>
      </w:r>
      <w:r w:rsidRPr="003D7939">
        <w:rPr>
          <w:rFonts w:ascii="Times New Roman" w:hAnsi="Times New Roman" w:cs="Times New Roman"/>
          <w:snapToGrid w:val="0"/>
          <w:color w:val="000000" w:themeColor="text1"/>
        </w:rPr>
        <w:lastRenderedPageBreak/>
        <w:t xml:space="preserve">ha a kárt az általa gyártott hibás termék okozta. </w:t>
      </w:r>
    </w:p>
    <w:p w:rsidR="00CE6734" w:rsidRPr="003D7939" w:rsidRDefault="00CE6734" w:rsidP="00382356">
      <w:pPr>
        <w:ind w:left="12" w:right="52"/>
        <w:jc w:val="both"/>
        <w:rPr>
          <w:rFonts w:ascii="Times New Roman" w:hAnsi="Times New Roman" w:cs="Times New Roman"/>
          <w:color w:val="000000" w:themeColor="text1"/>
        </w:rPr>
      </w:pPr>
    </w:p>
    <w:p w:rsidR="00CE6734" w:rsidRPr="003D7939" w:rsidRDefault="00CE6734" w:rsidP="00382356">
      <w:pPr>
        <w:ind w:left="12" w:right="52"/>
        <w:jc w:val="both"/>
        <w:rPr>
          <w:rFonts w:ascii="Times New Roman" w:hAnsi="Times New Roman" w:cs="Times New Roman"/>
        </w:rPr>
      </w:pPr>
      <w:r w:rsidRPr="003D7939">
        <w:rPr>
          <w:rFonts w:ascii="Times New Roman" w:hAnsi="Times New Roman" w:cs="Times New Roman"/>
          <w:color w:val="000000" w:themeColor="text1"/>
        </w:rPr>
        <w:t>A</w:t>
      </w:r>
      <w:r w:rsidR="00400057" w:rsidRPr="003D7939">
        <w:rPr>
          <w:rFonts w:ascii="Times New Roman" w:hAnsi="Times New Roman" w:cs="Times New Roman"/>
          <w:color w:val="000000" w:themeColor="text1"/>
        </w:rPr>
        <w:t xml:space="preserve">z </w:t>
      </w:r>
      <w:r w:rsidR="00400057" w:rsidRPr="003D7939">
        <w:rPr>
          <w:rFonts w:ascii="Times New Roman" w:hAnsi="Times New Roman" w:cs="Times New Roman"/>
          <w:b/>
          <w:color w:val="000000" w:themeColor="text1"/>
        </w:rPr>
        <w:t>irányelv 6. cikkének (1) bekezdésével</w:t>
      </w:r>
      <w:r w:rsidR="00400057" w:rsidRPr="003D7939">
        <w:rPr>
          <w:rFonts w:ascii="Times New Roman" w:hAnsi="Times New Roman" w:cs="Times New Roman"/>
          <w:color w:val="000000" w:themeColor="text1"/>
        </w:rPr>
        <w:t xml:space="preserve"> </w:t>
      </w:r>
      <w:r w:rsidR="00400057" w:rsidRPr="003D7939">
        <w:rPr>
          <w:rFonts w:ascii="Times New Roman" w:hAnsi="Times New Roman" w:cs="Times New Roman"/>
          <w:b/>
          <w:color w:val="000000" w:themeColor="text1"/>
        </w:rPr>
        <w:t>összhangban</w:t>
      </w:r>
      <w:r w:rsidR="00400057" w:rsidRPr="003D7939">
        <w:rPr>
          <w:rFonts w:ascii="Times New Roman" w:hAnsi="Times New Roman" w:cs="Times New Roman"/>
          <w:color w:val="000000" w:themeColor="text1"/>
        </w:rPr>
        <w:t xml:space="preserve"> a</w:t>
      </w:r>
      <w:r w:rsidRPr="003D7939">
        <w:rPr>
          <w:rFonts w:ascii="Times New Roman" w:hAnsi="Times New Roman" w:cs="Times New Roman"/>
          <w:color w:val="000000" w:themeColor="text1"/>
        </w:rPr>
        <w:t xml:space="preserve"> </w:t>
      </w:r>
      <w:r w:rsidRPr="003D7939">
        <w:rPr>
          <w:rFonts w:ascii="Times New Roman" w:hAnsi="Times New Roman" w:cs="Times New Roman"/>
          <w:b/>
          <w:color w:val="000000" w:themeColor="text1"/>
        </w:rPr>
        <w:t>Ptk. 6:554. § (1) bekezdése</w:t>
      </w:r>
      <w:r w:rsidRPr="003D7939">
        <w:rPr>
          <w:rFonts w:ascii="Times New Roman" w:hAnsi="Times New Roman" w:cs="Times New Roman"/>
          <w:color w:val="000000" w:themeColor="text1"/>
        </w:rPr>
        <w:t xml:space="preserve"> szerint </w:t>
      </w:r>
      <w:r w:rsidRPr="003D7939">
        <w:rPr>
          <w:rFonts w:ascii="Times New Roman" w:hAnsi="Times New Roman" w:cs="Times New Roman"/>
        </w:rPr>
        <w:t xml:space="preserve">a termék akkor hibás, ha nem nyújtja azt a biztonságot, amely általában elvárható, figyelemmel különösen </w:t>
      </w:r>
    </w:p>
    <w:p w:rsidR="00CE6734" w:rsidRPr="003D7939" w:rsidRDefault="00CE6734" w:rsidP="00382356">
      <w:pPr>
        <w:pStyle w:val="Listaszerbekezds"/>
        <w:numPr>
          <w:ilvl w:val="0"/>
          <w:numId w:val="36"/>
        </w:numPr>
        <w:ind w:right="52"/>
        <w:jc w:val="both"/>
        <w:rPr>
          <w:rFonts w:ascii="Times New Roman" w:hAnsi="Times New Roman" w:cs="Times New Roman"/>
        </w:rPr>
      </w:pPr>
      <w:r w:rsidRPr="003D7939">
        <w:rPr>
          <w:rFonts w:ascii="Times New Roman" w:hAnsi="Times New Roman" w:cs="Times New Roman"/>
        </w:rPr>
        <w:t xml:space="preserve">a termék rendeltetésére, </w:t>
      </w:r>
    </w:p>
    <w:p w:rsidR="00CE6734" w:rsidRPr="003D7939" w:rsidRDefault="00CE6734" w:rsidP="00382356">
      <w:pPr>
        <w:pStyle w:val="Listaszerbekezds"/>
        <w:numPr>
          <w:ilvl w:val="0"/>
          <w:numId w:val="36"/>
        </w:numPr>
        <w:ind w:right="52"/>
        <w:jc w:val="both"/>
        <w:rPr>
          <w:rFonts w:ascii="Times New Roman" w:hAnsi="Times New Roman" w:cs="Times New Roman"/>
        </w:rPr>
      </w:pPr>
      <w:r w:rsidRPr="003D7939">
        <w:rPr>
          <w:rFonts w:ascii="Times New Roman" w:hAnsi="Times New Roman" w:cs="Times New Roman"/>
        </w:rPr>
        <w:t xml:space="preserve">ésszerűen várható </w:t>
      </w:r>
      <w:proofErr w:type="gramStart"/>
      <w:r w:rsidRPr="003D7939">
        <w:rPr>
          <w:rFonts w:ascii="Times New Roman" w:hAnsi="Times New Roman" w:cs="Times New Roman"/>
        </w:rPr>
        <w:t>használatára</w:t>
      </w:r>
      <w:r w:rsidR="005D4758" w:rsidRPr="003D7939">
        <w:rPr>
          <w:rStyle w:val="Lbjegyzet-hivatkozs"/>
          <w:rFonts w:ascii="Times New Roman" w:hAnsi="Times New Roman" w:cs="Times New Roman"/>
        </w:rPr>
        <w:footnoteReference w:id="14"/>
      </w:r>
      <w:r w:rsidRPr="003D7939">
        <w:rPr>
          <w:rFonts w:ascii="Times New Roman" w:hAnsi="Times New Roman" w:cs="Times New Roman"/>
        </w:rPr>
        <w:t>,</w:t>
      </w:r>
      <w:proofErr w:type="gramEnd"/>
      <w:r w:rsidRPr="003D7939">
        <w:rPr>
          <w:rFonts w:ascii="Times New Roman" w:hAnsi="Times New Roman" w:cs="Times New Roman"/>
        </w:rPr>
        <w:t xml:space="preserve"> </w:t>
      </w:r>
    </w:p>
    <w:p w:rsidR="00CE6734" w:rsidRPr="003D7939" w:rsidRDefault="00CE6734" w:rsidP="00382356">
      <w:pPr>
        <w:pStyle w:val="Listaszerbekezds"/>
        <w:numPr>
          <w:ilvl w:val="0"/>
          <w:numId w:val="36"/>
        </w:numPr>
        <w:ind w:right="52"/>
        <w:jc w:val="both"/>
        <w:rPr>
          <w:rFonts w:ascii="Times New Roman" w:hAnsi="Times New Roman" w:cs="Times New Roman"/>
        </w:rPr>
      </w:pPr>
      <w:r w:rsidRPr="003D7939">
        <w:rPr>
          <w:rFonts w:ascii="Times New Roman" w:hAnsi="Times New Roman" w:cs="Times New Roman"/>
        </w:rPr>
        <w:t xml:space="preserve">a termékkel kapcsolatos tájékoztatásra, </w:t>
      </w:r>
    </w:p>
    <w:p w:rsidR="00CE6734" w:rsidRPr="003D7939" w:rsidRDefault="00CE6734" w:rsidP="00382356">
      <w:pPr>
        <w:pStyle w:val="Listaszerbekezds"/>
        <w:numPr>
          <w:ilvl w:val="0"/>
          <w:numId w:val="36"/>
        </w:numPr>
        <w:ind w:right="52"/>
        <w:jc w:val="both"/>
        <w:rPr>
          <w:rFonts w:ascii="Times New Roman" w:hAnsi="Times New Roman" w:cs="Times New Roman"/>
        </w:rPr>
      </w:pPr>
      <w:r w:rsidRPr="003D7939">
        <w:rPr>
          <w:rFonts w:ascii="Times New Roman" w:hAnsi="Times New Roman" w:cs="Times New Roman"/>
        </w:rPr>
        <w:t xml:space="preserve">a termék forgalomba hozatalának időpontjára, </w:t>
      </w:r>
    </w:p>
    <w:p w:rsidR="00CE6734" w:rsidRPr="003D7939" w:rsidRDefault="00CE6734" w:rsidP="00382356">
      <w:pPr>
        <w:pStyle w:val="Listaszerbekezds"/>
        <w:numPr>
          <w:ilvl w:val="0"/>
          <w:numId w:val="36"/>
        </w:numPr>
        <w:ind w:right="52"/>
        <w:jc w:val="both"/>
        <w:rPr>
          <w:rFonts w:ascii="Times New Roman" w:hAnsi="Times New Roman" w:cs="Times New Roman"/>
          <w:color w:val="000000" w:themeColor="text1"/>
        </w:rPr>
      </w:pPr>
      <w:r w:rsidRPr="003D7939">
        <w:rPr>
          <w:rFonts w:ascii="Times New Roman" w:hAnsi="Times New Roman" w:cs="Times New Roman"/>
        </w:rPr>
        <w:t xml:space="preserve">a tudomány és a technika </w:t>
      </w:r>
      <w:proofErr w:type="gramStart"/>
      <w:r w:rsidRPr="003D7939">
        <w:rPr>
          <w:rFonts w:ascii="Times New Roman" w:hAnsi="Times New Roman" w:cs="Times New Roman"/>
        </w:rPr>
        <w:t>állására</w:t>
      </w:r>
      <w:r w:rsidRPr="003D7939">
        <w:rPr>
          <w:rStyle w:val="Lbjegyzet-hivatkozs"/>
          <w:rFonts w:ascii="Times New Roman" w:hAnsi="Times New Roman" w:cs="Times New Roman"/>
        </w:rPr>
        <w:footnoteReference w:id="15"/>
      </w:r>
      <w:r w:rsidRPr="003D7939">
        <w:rPr>
          <w:rFonts w:ascii="Times New Roman" w:hAnsi="Times New Roman" w:cs="Times New Roman"/>
        </w:rPr>
        <w:t>.</w:t>
      </w:r>
      <w:proofErr w:type="gramEnd"/>
    </w:p>
    <w:p w:rsidR="006436AC" w:rsidRPr="003D7939" w:rsidRDefault="006436AC" w:rsidP="00382356">
      <w:pPr>
        <w:pStyle w:val="c02alineaalta"/>
        <w:spacing w:before="0" w:beforeAutospacing="0" w:after="0" w:afterAutospacing="0"/>
        <w:jc w:val="both"/>
        <w:rPr>
          <w:snapToGrid w:val="0"/>
          <w:color w:val="000000" w:themeColor="text1"/>
        </w:rPr>
      </w:pPr>
    </w:p>
    <w:p w:rsidR="006436AC" w:rsidRPr="003D7939" w:rsidRDefault="006436AC" w:rsidP="00382356">
      <w:pPr>
        <w:pStyle w:val="c02alineaalta"/>
        <w:spacing w:before="0" w:beforeAutospacing="0" w:after="0" w:afterAutospacing="0"/>
        <w:jc w:val="both"/>
      </w:pPr>
      <w:r w:rsidRPr="003D7939">
        <w:rPr>
          <w:snapToGrid w:val="0"/>
          <w:color w:val="000000" w:themeColor="text1"/>
        </w:rPr>
        <w:t xml:space="preserve">Ez azt is jelenti, ahogy </w:t>
      </w:r>
      <w:r w:rsidRPr="003D7939">
        <w:t xml:space="preserve">az Európai Bíróság a </w:t>
      </w:r>
      <w:r w:rsidRPr="003D7939">
        <w:rPr>
          <w:b/>
          <w:bCs/>
        </w:rPr>
        <w:t xml:space="preserve">Boston </w:t>
      </w:r>
      <w:proofErr w:type="spellStart"/>
      <w:r w:rsidRPr="003D7939">
        <w:rPr>
          <w:b/>
          <w:bCs/>
        </w:rPr>
        <w:t>Scientific</w:t>
      </w:r>
      <w:proofErr w:type="spellEnd"/>
      <w:r w:rsidRPr="003D7939">
        <w:rPr>
          <w:b/>
          <w:bCs/>
        </w:rPr>
        <w:t xml:space="preserve"> </w:t>
      </w:r>
      <w:proofErr w:type="spellStart"/>
      <w:r w:rsidRPr="003D7939">
        <w:rPr>
          <w:b/>
          <w:bCs/>
        </w:rPr>
        <w:t>Medizintechnik</w:t>
      </w:r>
      <w:proofErr w:type="spellEnd"/>
      <w:r w:rsidRPr="003D7939">
        <w:rPr>
          <w:b/>
          <w:bCs/>
        </w:rPr>
        <w:t xml:space="preserve"> GmbH kontra AOK </w:t>
      </w:r>
      <w:proofErr w:type="spellStart"/>
      <w:r w:rsidRPr="003D7939">
        <w:rPr>
          <w:b/>
          <w:bCs/>
        </w:rPr>
        <w:t>Sachsen</w:t>
      </w:r>
      <w:r w:rsidRPr="003D7939">
        <w:rPr>
          <w:b/>
          <w:bCs/>
        </w:rPr>
        <w:noBreakHyphen/>
        <w:t>Anhalt</w:t>
      </w:r>
      <w:proofErr w:type="spellEnd"/>
      <w:r w:rsidRPr="003D7939">
        <w:rPr>
          <w:b/>
          <w:bCs/>
        </w:rPr>
        <w:t xml:space="preserve"> - Die </w:t>
      </w:r>
      <w:proofErr w:type="spellStart"/>
      <w:r w:rsidRPr="003D7939">
        <w:rPr>
          <w:b/>
          <w:bCs/>
        </w:rPr>
        <w:t>Gesundheitskasse</w:t>
      </w:r>
      <w:proofErr w:type="spellEnd"/>
      <w:r w:rsidRPr="003D7939">
        <w:rPr>
          <w:b/>
        </w:rPr>
        <w:t xml:space="preserve">,  </w:t>
      </w:r>
      <w:proofErr w:type="spellStart"/>
      <w:r w:rsidRPr="003D7939">
        <w:rPr>
          <w:b/>
          <w:bCs/>
        </w:rPr>
        <w:t>Betriebskrankenkasse</w:t>
      </w:r>
      <w:proofErr w:type="spellEnd"/>
      <w:r w:rsidRPr="003D7939">
        <w:rPr>
          <w:b/>
          <w:bCs/>
        </w:rPr>
        <w:t xml:space="preserve"> RWE </w:t>
      </w:r>
      <w:r w:rsidRPr="003D7939">
        <w:rPr>
          <w:b/>
        </w:rPr>
        <w:t>C</w:t>
      </w:r>
      <w:r w:rsidRPr="003D7939">
        <w:rPr>
          <w:b/>
        </w:rPr>
        <w:noBreakHyphen/>
        <w:t>503/13. és C</w:t>
      </w:r>
      <w:r w:rsidRPr="003D7939">
        <w:rPr>
          <w:b/>
        </w:rPr>
        <w:noBreakHyphen/>
        <w:t>504/13. sz. egyesített ügyekben</w:t>
      </w:r>
      <w:r w:rsidRPr="003D7939">
        <w:t xml:space="preserve"> rámutatott az irányelv 6. cikkének (1) bekezdését úgy kell értelmezni, hogy ha az azonos termékcsoportba vagy azonos gyártási sorozatba tartozó termékek - például szívritmus</w:t>
      </w:r>
      <w:r w:rsidRPr="003D7939">
        <w:rPr>
          <w:rFonts w:ascii="Cambria Math" w:hAnsi="Cambria Math"/>
        </w:rPr>
        <w:t>‑</w:t>
      </w:r>
      <w:r w:rsidRPr="003D7939">
        <w:t xml:space="preserve">szabályozók és beültethető </w:t>
      </w:r>
      <w:proofErr w:type="spellStart"/>
      <w:r w:rsidRPr="003D7939">
        <w:t>kardioverter</w:t>
      </w:r>
      <w:proofErr w:type="spellEnd"/>
      <w:r w:rsidRPr="003D7939">
        <w:t xml:space="preserve"> </w:t>
      </w:r>
      <w:proofErr w:type="spellStart"/>
      <w:r w:rsidRPr="003D7939">
        <w:t>defibrillátorok</w:t>
      </w:r>
      <w:proofErr w:type="spellEnd"/>
      <w:r w:rsidRPr="003D7939">
        <w:t xml:space="preserve"> - esetében hibalehetőséget állapítottak meg, akkor ez alapján hibásnak lehet minősíteni az ilyen terméket anélkül, hogy a termékben meg kellene állapítani ezt a hibát.</w:t>
      </w:r>
    </w:p>
    <w:p w:rsidR="006436AC" w:rsidRPr="003D7939" w:rsidRDefault="006436AC" w:rsidP="00382356">
      <w:pPr>
        <w:ind w:left="12" w:right="52"/>
        <w:jc w:val="both"/>
        <w:rPr>
          <w:rFonts w:ascii="Times New Roman" w:hAnsi="Times New Roman" w:cs="Times New Roman"/>
          <w:snapToGrid w:val="0"/>
          <w:color w:val="000000" w:themeColor="text1"/>
        </w:rPr>
      </w:pPr>
    </w:p>
    <w:p w:rsidR="00CE6734" w:rsidRDefault="00B64FC7" w:rsidP="00382356">
      <w:pPr>
        <w:ind w:left="12" w:right="52"/>
        <w:jc w:val="both"/>
        <w:rPr>
          <w:rFonts w:ascii="Times New Roman" w:hAnsi="Times New Roman" w:cs="Times New Roman"/>
        </w:rPr>
      </w:pPr>
      <w:r w:rsidRPr="003D7939">
        <w:rPr>
          <w:rFonts w:ascii="Times New Roman" w:hAnsi="Times New Roman" w:cs="Times New Roman"/>
          <w:snapToGrid w:val="0"/>
          <w:color w:val="000000" w:themeColor="text1"/>
        </w:rPr>
        <w:t xml:space="preserve">A </w:t>
      </w:r>
      <w:r w:rsidR="00CE6734" w:rsidRPr="003D7939">
        <w:rPr>
          <w:rFonts w:ascii="Times New Roman" w:hAnsi="Times New Roman" w:cs="Times New Roman"/>
          <w:b/>
          <w:snapToGrid w:val="0"/>
          <w:color w:val="000000" w:themeColor="text1"/>
        </w:rPr>
        <w:t>Ptk. 6:554. § (2) bekezdése</w:t>
      </w:r>
      <w:r w:rsidR="00CE6734" w:rsidRPr="003D7939">
        <w:rPr>
          <w:rFonts w:ascii="Times New Roman" w:hAnsi="Times New Roman" w:cs="Times New Roman"/>
          <w:snapToGrid w:val="0"/>
          <w:color w:val="000000" w:themeColor="text1"/>
        </w:rPr>
        <w:t xml:space="preserve"> ezt kiegészíti azzal a fontos </w:t>
      </w:r>
      <w:r w:rsidR="00400057" w:rsidRPr="003D7939">
        <w:rPr>
          <w:rFonts w:ascii="Times New Roman" w:hAnsi="Times New Roman" w:cs="Times New Roman"/>
          <w:snapToGrid w:val="0"/>
          <w:color w:val="000000" w:themeColor="text1"/>
        </w:rPr>
        <w:t xml:space="preserve">- az irányelv 6. cikk (2) bekezdésében meghatározott - </w:t>
      </w:r>
      <w:r w:rsidR="00CE6734" w:rsidRPr="003D7939">
        <w:rPr>
          <w:rFonts w:ascii="Times New Roman" w:hAnsi="Times New Roman" w:cs="Times New Roman"/>
          <w:snapToGrid w:val="0"/>
          <w:color w:val="000000" w:themeColor="text1"/>
        </w:rPr>
        <w:t xml:space="preserve">megszorítással, hogy a </w:t>
      </w:r>
      <w:r w:rsidR="00CE6734" w:rsidRPr="003D7939">
        <w:rPr>
          <w:rFonts w:ascii="Times New Roman" w:hAnsi="Times New Roman" w:cs="Times New Roman"/>
        </w:rPr>
        <w:t>terméket nem teszi hibássá önmagában az a tény, hogy később nagyobb biztonságot nyújtó termék kerül a forgalomba.</w:t>
      </w:r>
    </w:p>
    <w:p w:rsidR="00382356" w:rsidRPr="003D7939" w:rsidRDefault="00382356" w:rsidP="00382356">
      <w:pPr>
        <w:ind w:left="12" w:right="52"/>
        <w:jc w:val="both"/>
        <w:rPr>
          <w:rFonts w:ascii="Times New Roman" w:hAnsi="Times New Roman" w:cs="Times New Roman"/>
        </w:rPr>
      </w:pPr>
    </w:p>
    <w:p w:rsidR="00066FA0" w:rsidRPr="007C3CEF" w:rsidRDefault="00A16E88" w:rsidP="00382356">
      <w:pPr>
        <w:pStyle w:val="Cmsor1"/>
        <w:spacing w:before="0"/>
        <w:rPr>
          <w:rFonts w:ascii="Times New Roman" w:hAnsi="Times New Roman" w:cs="Times New Roman"/>
          <w:bCs w:val="0"/>
          <w:snapToGrid w:val="0"/>
          <w:color w:val="000000" w:themeColor="text1"/>
          <w:sz w:val="24"/>
          <w:szCs w:val="24"/>
        </w:rPr>
      </w:pPr>
      <w:r w:rsidRPr="007C3CEF">
        <w:rPr>
          <w:rFonts w:ascii="Times New Roman" w:hAnsi="Times New Roman" w:cs="Times New Roman"/>
          <w:bCs w:val="0"/>
          <w:snapToGrid w:val="0"/>
          <w:color w:val="000000" w:themeColor="text1"/>
          <w:sz w:val="24"/>
          <w:szCs w:val="24"/>
        </w:rPr>
        <w:t>4</w:t>
      </w:r>
      <w:r w:rsidR="00B64FC7" w:rsidRPr="007C3CEF">
        <w:rPr>
          <w:rFonts w:ascii="Times New Roman" w:hAnsi="Times New Roman" w:cs="Times New Roman"/>
          <w:bCs w:val="0"/>
          <w:snapToGrid w:val="0"/>
          <w:color w:val="000000" w:themeColor="text1"/>
          <w:sz w:val="24"/>
          <w:szCs w:val="24"/>
        </w:rPr>
        <w:t>.</w:t>
      </w:r>
      <w:r w:rsidR="00E23E53" w:rsidRPr="007C3CEF">
        <w:rPr>
          <w:rFonts w:ascii="Times New Roman" w:hAnsi="Times New Roman" w:cs="Times New Roman"/>
          <w:bCs w:val="0"/>
          <w:snapToGrid w:val="0"/>
          <w:color w:val="000000" w:themeColor="text1"/>
          <w:sz w:val="24"/>
          <w:szCs w:val="24"/>
        </w:rPr>
        <w:t xml:space="preserve"> Objektív f</w:t>
      </w:r>
      <w:r w:rsidR="00B64FC7" w:rsidRPr="007C3CEF">
        <w:rPr>
          <w:rFonts w:ascii="Times New Roman" w:hAnsi="Times New Roman" w:cs="Times New Roman"/>
          <w:bCs w:val="0"/>
          <w:snapToGrid w:val="0"/>
          <w:color w:val="000000" w:themeColor="text1"/>
          <w:sz w:val="24"/>
          <w:szCs w:val="24"/>
        </w:rPr>
        <w:t xml:space="preserve">elelősség és </w:t>
      </w:r>
      <w:r w:rsidR="00E23E53" w:rsidRPr="007C3CEF">
        <w:rPr>
          <w:rFonts w:ascii="Times New Roman" w:hAnsi="Times New Roman" w:cs="Times New Roman"/>
          <w:bCs w:val="0"/>
          <w:snapToGrid w:val="0"/>
          <w:color w:val="000000" w:themeColor="text1"/>
          <w:sz w:val="24"/>
          <w:szCs w:val="24"/>
        </w:rPr>
        <w:t xml:space="preserve">a </w:t>
      </w:r>
      <w:r w:rsidR="00B64FC7" w:rsidRPr="007C3CEF">
        <w:rPr>
          <w:rFonts w:ascii="Times New Roman" w:hAnsi="Times New Roman" w:cs="Times New Roman"/>
          <w:bCs w:val="0"/>
          <w:snapToGrid w:val="0"/>
          <w:color w:val="000000" w:themeColor="text1"/>
          <w:sz w:val="24"/>
          <w:szCs w:val="24"/>
        </w:rPr>
        <w:t>bizonyítási teher</w:t>
      </w:r>
    </w:p>
    <w:p w:rsidR="00066FA0" w:rsidRPr="003D7939" w:rsidRDefault="00066FA0" w:rsidP="00382356">
      <w:pPr>
        <w:ind w:left="12" w:right="52"/>
        <w:jc w:val="both"/>
        <w:rPr>
          <w:rFonts w:ascii="Times New Roman" w:hAnsi="Times New Roman" w:cs="Times New Roman"/>
          <w:b/>
          <w:snapToGrid w:val="0"/>
          <w:color w:val="000000" w:themeColor="text1"/>
        </w:rPr>
      </w:pPr>
    </w:p>
    <w:p w:rsidR="00212135" w:rsidRPr="003D7939" w:rsidRDefault="001A6EE8" w:rsidP="00382356">
      <w:pPr>
        <w:ind w:left="12" w:right="52"/>
        <w:jc w:val="both"/>
        <w:rPr>
          <w:rFonts w:ascii="Times New Roman" w:hAnsi="Times New Roman" w:cs="Times New Roman"/>
          <w:color w:val="000000" w:themeColor="text1"/>
        </w:rPr>
      </w:pPr>
      <w:r w:rsidRPr="003D7939">
        <w:rPr>
          <w:rFonts w:ascii="Times New Roman" w:hAnsi="Times New Roman" w:cs="Times New Roman"/>
          <w:bCs/>
          <w:color w:val="000000" w:themeColor="text1"/>
        </w:rPr>
        <w:t>A kártérítési felelősség általános szabályainak alkalmazása körében a Ptk. 6:519. §</w:t>
      </w:r>
      <w:r w:rsidRPr="003D7939">
        <w:rPr>
          <w:rStyle w:val="apple-converted-space"/>
          <w:rFonts w:ascii="Times New Roman" w:hAnsi="Times New Roman" w:cs="Times New Roman"/>
          <w:iCs/>
          <w:color w:val="000000" w:themeColor="text1"/>
        </w:rPr>
        <w:t> s</w:t>
      </w:r>
      <w:r w:rsidRPr="003D7939">
        <w:rPr>
          <w:rFonts w:ascii="Times New Roman" w:hAnsi="Times New Roman" w:cs="Times New Roman"/>
          <w:iCs/>
          <w:color w:val="000000" w:themeColor="text1"/>
        </w:rPr>
        <w:t>zabályai alapján m</w:t>
      </w:r>
      <w:r w:rsidRPr="003D7939">
        <w:rPr>
          <w:rFonts w:ascii="Times New Roman" w:hAnsi="Times New Roman" w:cs="Times New Roman"/>
          <w:color w:val="000000" w:themeColor="text1"/>
        </w:rPr>
        <w:t xml:space="preserve">entesül a felelősség alól a károkozó, ha bizonyítja, hogy magatartása nem volt felróható. </w:t>
      </w:r>
    </w:p>
    <w:p w:rsidR="00212135" w:rsidRPr="003D7939" w:rsidRDefault="00212135" w:rsidP="00382356">
      <w:pPr>
        <w:ind w:left="12" w:right="52"/>
        <w:jc w:val="both"/>
        <w:rPr>
          <w:rFonts w:ascii="Times New Roman" w:hAnsi="Times New Roman" w:cs="Times New Roman"/>
          <w:color w:val="000000" w:themeColor="text1"/>
        </w:rPr>
      </w:pPr>
    </w:p>
    <w:p w:rsidR="00EE035E" w:rsidRPr="003D7939" w:rsidRDefault="001A6EE8"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 xml:space="preserve">A </w:t>
      </w:r>
      <w:r w:rsidR="00212135" w:rsidRPr="003D7939">
        <w:rPr>
          <w:rFonts w:ascii="Times New Roman" w:hAnsi="Times New Roman" w:cs="Times New Roman"/>
          <w:snapToGrid w:val="0"/>
          <w:color w:val="000000" w:themeColor="text1"/>
        </w:rPr>
        <w:t>termék</w:t>
      </w:r>
      <w:r w:rsidRPr="003D7939">
        <w:rPr>
          <w:rFonts w:ascii="Times New Roman" w:hAnsi="Times New Roman" w:cs="Times New Roman"/>
          <w:snapToGrid w:val="0"/>
          <w:color w:val="000000" w:themeColor="text1"/>
        </w:rPr>
        <w:t xml:space="preserve">felelősség </w:t>
      </w:r>
      <w:r w:rsidR="00212135" w:rsidRPr="003D7939">
        <w:rPr>
          <w:rFonts w:ascii="Times New Roman" w:hAnsi="Times New Roman" w:cs="Times New Roman"/>
          <w:snapToGrid w:val="0"/>
          <w:color w:val="000000" w:themeColor="text1"/>
        </w:rPr>
        <w:t xml:space="preserve">esetében </w:t>
      </w:r>
      <w:r w:rsidRPr="003D7939">
        <w:rPr>
          <w:rFonts w:ascii="Times New Roman" w:hAnsi="Times New Roman" w:cs="Times New Roman"/>
          <w:snapToGrid w:val="0"/>
          <w:color w:val="000000" w:themeColor="text1"/>
        </w:rPr>
        <w:t xml:space="preserve">ugyanakkor a termék hibája által okozott károkért </w:t>
      </w:r>
      <w:proofErr w:type="spellStart"/>
      <w:r w:rsidRPr="003D7939">
        <w:rPr>
          <w:rFonts w:ascii="Times New Roman" w:hAnsi="Times New Roman" w:cs="Times New Roman"/>
          <w:snapToGrid w:val="0"/>
          <w:color w:val="000000" w:themeColor="text1"/>
        </w:rPr>
        <w:t>objektivizált</w:t>
      </w:r>
      <w:proofErr w:type="spellEnd"/>
      <w:r w:rsidRPr="003D7939">
        <w:rPr>
          <w:rFonts w:ascii="Times New Roman" w:hAnsi="Times New Roman" w:cs="Times New Roman"/>
          <w:snapToGrid w:val="0"/>
          <w:color w:val="000000" w:themeColor="text1"/>
        </w:rPr>
        <w:t xml:space="preserve">, a felelősség önmagában a károkozás tényén, nem </w:t>
      </w:r>
      <w:r w:rsidRPr="003D7939">
        <w:rPr>
          <w:rFonts w:ascii="Times New Roman" w:hAnsi="Times New Roman" w:cs="Times New Roman"/>
          <w:snapToGrid w:val="0"/>
          <w:color w:val="000000" w:themeColor="text1"/>
        </w:rPr>
        <w:lastRenderedPageBreak/>
        <w:t xml:space="preserve">pedig a felróhatóságon alapul. </w:t>
      </w:r>
      <w:r w:rsidR="00212135" w:rsidRPr="003D7939">
        <w:rPr>
          <w:rFonts w:ascii="Times New Roman" w:hAnsi="Times New Roman" w:cs="Times New Roman"/>
          <w:snapToGrid w:val="0"/>
          <w:color w:val="000000" w:themeColor="text1"/>
        </w:rPr>
        <w:t>Hangsúlyozandó, hogy ez az objektív felelősség az irányelv szerinti gyártót terheli</w:t>
      </w:r>
      <w:r w:rsidR="00EE035E" w:rsidRPr="003D7939">
        <w:rPr>
          <w:rFonts w:ascii="Times New Roman" w:hAnsi="Times New Roman" w:cs="Times New Roman"/>
          <w:snapToGrid w:val="0"/>
          <w:color w:val="000000" w:themeColor="text1"/>
        </w:rPr>
        <w:t xml:space="preserve">. </w:t>
      </w:r>
    </w:p>
    <w:p w:rsidR="00EE035E" w:rsidRPr="003D7939" w:rsidRDefault="00EE035E" w:rsidP="00382356">
      <w:pPr>
        <w:ind w:left="12" w:right="52"/>
        <w:jc w:val="both"/>
        <w:rPr>
          <w:rFonts w:ascii="Times New Roman" w:hAnsi="Times New Roman" w:cs="Times New Roman"/>
          <w:snapToGrid w:val="0"/>
          <w:color w:val="000000" w:themeColor="text1"/>
        </w:rPr>
      </w:pPr>
    </w:p>
    <w:p w:rsidR="00F25E2F" w:rsidRPr="003D7939" w:rsidRDefault="00EE035E" w:rsidP="00382356">
      <w:pPr>
        <w:ind w:left="12" w:right="52"/>
        <w:jc w:val="both"/>
        <w:rPr>
          <w:rFonts w:ascii="Times New Roman" w:hAnsi="Times New Roman" w:cs="Times New Roman"/>
          <w:bCs/>
        </w:rPr>
      </w:pPr>
      <w:r w:rsidRPr="003D7939">
        <w:rPr>
          <w:rFonts w:ascii="Times New Roman" w:hAnsi="Times New Roman" w:cs="Times New Roman"/>
          <w:snapToGrid w:val="0"/>
          <w:color w:val="000000" w:themeColor="text1"/>
        </w:rPr>
        <w:t>A</w:t>
      </w:r>
      <w:r w:rsidR="00212135" w:rsidRPr="003D7939">
        <w:rPr>
          <w:rFonts w:ascii="Times New Roman" w:hAnsi="Times New Roman" w:cs="Times New Roman"/>
          <w:snapToGrid w:val="0"/>
          <w:color w:val="000000" w:themeColor="text1"/>
        </w:rPr>
        <w:t xml:space="preserve">hogy </w:t>
      </w:r>
      <w:r w:rsidR="00F25E2F" w:rsidRPr="003D7939">
        <w:rPr>
          <w:rFonts w:ascii="Times New Roman" w:hAnsi="Times New Roman" w:cs="Times New Roman"/>
          <w:snapToGrid w:val="0"/>
          <w:color w:val="000000" w:themeColor="text1"/>
        </w:rPr>
        <w:t xml:space="preserve">arra az Európai Bíróság a </w:t>
      </w:r>
      <w:proofErr w:type="spellStart"/>
      <w:r w:rsidR="00F25E2F" w:rsidRPr="003D7939">
        <w:rPr>
          <w:rFonts w:ascii="Times New Roman" w:hAnsi="Times New Roman" w:cs="Times New Roman"/>
          <w:b/>
          <w:bCs/>
        </w:rPr>
        <w:t>Skov</w:t>
      </w:r>
      <w:proofErr w:type="spellEnd"/>
      <w:r w:rsidR="00F25E2F" w:rsidRPr="003D7939">
        <w:rPr>
          <w:rFonts w:ascii="Times New Roman" w:hAnsi="Times New Roman" w:cs="Times New Roman"/>
          <w:b/>
          <w:bCs/>
        </w:rPr>
        <w:t xml:space="preserve"> </w:t>
      </w:r>
      <w:proofErr w:type="spellStart"/>
      <w:r w:rsidR="00F25E2F" w:rsidRPr="003D7939">
        <w:rPr>
          <w:rFonts w:ascii="Times New Roman" w:hAnsi="Times New Roman" w:cs="Times New Roman"/>
          <w:b/>
          <w:bCs/>
        </w:rPr>
        <w:t>Æg</w:t>
      </w:r>
      <w:proofErr w:type="spellEnd"/>
      <w:r w:rsidR="00F25E2F" w:rsidRPr="003D7939">
        <w:rPr>
          <w:rFonts w:ascii="Times New Roman" w:hAnsi="Times New Roman" w:cs="Times New Roman"/>
          <w:b/>
          <w:bCs/>
        </w:rPr>
        <w:t xml:space="preserve"> </w:t>
      </w:r>
      <w:r w:rsidR="00F25E2F" w:rsidRPr="003D7939">
        <w:rPr>
          <w:rFonts w:ascii="Times New Roman" w:hAnsi="Times New Roman" w:cs="Times New Roman"/>
          <w:b/>
        </w:rPr>
        <w:t xml:space="preserve">és a </w:t>
      </w:r>
      <w:proofErr w:type="spellStart"/>
      <w:r w:rsidR="00F25E2F" w:rsidRPr="003D7939">
        <w:rPr>
          <w:rFonts w:ascii="Times New Roman" w:hAnsi="Times New Roman" w:cs="Times New Roman"/>
          <w:b/>
          <w:bCs/>
        </w:rPr>
        <w:t>Bilka</w:t>
      </w:r>
      <w:proofErr w:type="spellEnd"/>
      <w:r w:rsidR="00F25E2F" w:rsidRPr="003D7939">
        <w:rPr>
          <w:rFonts w:ascii="Times New Roman" w:hAnsi="Times New Roman" w:cs="Times New Roman"/>
          <w:b/>
          <w:bCs/>
        </w:rPr>
        <w:t xml:space="preserve"> </w:t>
      </w:r>
      <w:proofErr w:type="spellStart"/>
      <w:r w:rsidR="00F25E2F" w:rsidRPr="003D7939">
        <w:rPr>
          <w:rFonts w:ascii="Times New Roman" w:hAnsi="Times New Roman" w:cs="Times New Roman"/>
          <w:b/>
          <w:bCs/>
        </w:rPr>
        <w:t>Lavprisvarehus</w:t>
      </w:r>
      <w:proofErr w:type="spellEnd"/>
      <w:r w:rsidR="00F25E2F" w:rsidRPr="003D7939">
        <w:rPr>
          <w:rFonts w:ascii="Times New Roman" w:hAnsi="Times New Roman" w:cs="Times New Roman"/>
          <w:b/>
          <w:bCs/>
        </w:rPr>
        <w:t xml:space="preserve"> </w:t>
      </w:r>
      <w:proofErr w:type="gramStart"/>
      <w:r w:rsidR="00F25E2F" w:rsidRPr="003D7939">
        <w:rPr>
          <w:rFonts w:ascii="Times New Roman" w:hAnsi="Times New Roman" w:cs="Times New Roman"/>
          <w:b/>
          <w:bCs/>
        </w:rPr>
        <w:t>A</w:t>
      </w:r>
      <w:proofErr w:type="gramEnd"/>
      <w:r w:rsidR="00F25E2F" w:rsidRPr="003D7939">
        <w:rPr>
          <w:rFonts w:ascii="Times New Roman" w:hAnsi="Times New Roman" w:cs="Times New Roman"/>
          <w:b/>
          <w:bCs/>
        </w:rPr>
        <w:t>/S</w:t>
      </w:r>
      <w:r w:rsidR="00F25E2F" w:rsidRPr="003D7939">
        <w:rPr>
          <w:rFonts w:ascii="Times New Roman" w:hAnsi="Times New Roman" w:cs="Times New Roman"/>
          <w:b/>
        </w:rPr>
        <w:t xml:space="preserve">, valamint a </w:t>
      </w:r>
      <w:proofErr w:type="spellStart"/>
      <w:r w:rsidR="00F25E2F" w:rsidRPr="003D7939">
        <w:rPr>
          <w:rFonts w:ascii="Times New Roman" w:hAnsi="Times New Roman" w:cs="Times New Roman"/>
          <w:b/>
          <w:bCs/>
        </w:rPr>
        <w:t>Bilka</w:t>
      </w:r>
      <w:proofErr w:type="spellEnd"/>
      <w:r w:rsidR="00F25E2F" w:rsidRPr="003D7939">
        <w:rPr>
          <w:rFonts w:ascii="Times New Roman" w:hAnsi="Times New Roman" w:cs="Times New Roman"/>
          <w:b/>
          <w:bCs/>
        </w:rPr>
        <w:t xml:space="preserve"> </w:t>
      </w:r>
      <w:proofErr w:type="spellStart"/>
      <w:r w:rsidR="00F25E2F" w:rsidRPr="003D7939">
        <w:rPr>
          <w:rFonts w:ascii="Times New Roman" w:hAnsi="Times New Roman" w:cs="Times New Roman"/>
          <w:b/>
          <w:bCs/>
        </w:rPr>
        <w:t>Lavprisvarehus</w:t>
      </w:r>
      <w:proofErr w:type="spellEnd"/>
      <w:r w:rsidR="00F25E2F" w:rsidRPr="003D7939">
        <w:rPr>
          <w:rFonts w:ascii="Times New Roman" w:hAnsi="Times New Roman" w:cs="Times New Roman"/>
          <w:b/>
          <w:bCs/>
        </w:rPr>
        <w:t xml:space="preserve"> A/S </w:t>
      </w:r>
      <w:r w:rsidR="00F25E2F" w:rsidRPr="003D7939">
        <w:rPr>
          <w:rFonts w:ascii="Times New Roman" w:hAnsi="Times New Roman" w:cs="Times New Roman"/>
          <w:b/>
        </w:rPr>
        <w:t xml:space="preserve">és </w:t>
      </w:r>
      <w:proofErr w:type="spellStart"/>
      <w:r w:rsidR="00F25E2F" w:rsidRPr="003D7939">
        <w:rPr>
          <w:rFonts w:ascii="Times New Roman" w:hAnsi="Times New Roman" w:cs="Times New Roman"/>
          <w:b/>
          <w:bCs/>
        </w:rPr>
        <w:t>Jette</w:t>
      </w:r>
      <w:proofErr w:type="spellEnd"/>
      <w:r w:rsidR="00F25E2F" w:rsidRPr="003D7939">
        <w:rPr>
          <w:rFonts w:ascii="Times New Roman" w:hAnsi="Times New Roman" w:cs="Times New Roman"/>
          <w:b/>
          <w:bCs/>
        </w:rPr>
        <w:t xml:space="preserve"> </w:t>
      </w:r>
      <w:proofErr w:type="spellStart"/>
      <w:r w:rsidR="00F25E2F" w:rsidRPr="003D7939">
        <w:rPr>
          <w:rFonts w:ascii="Times New Roman" w:hAnsi="Times New Roman" w:cs="Times New Roman"/>
          <w:b/>
          <w:bCs/>
        </w:rPr>
        <w:t>Mikkelsen</w:t>
      </w:r>
      <w:proofErr w:type="spellEnd"/>
      <w:r w:rsidR="00F25E2F" w:rsidRPr="003D7939">
        <w:rPr>
          <w:rFonts w:ascii="Times New Roman" w:hAnsi="Times New Roman" w:cs="Times New Roman"/>
          <w:b/>
        </w:rPr>
        <w:t xml:space="preserve">, illetve </w:t>
      </w:r>
      <w:r w:rsidR="00F25E2F" w:rsidRPr="003D7939">
        <w:rPr>
          <w:rFonts w:ascii="Times New Roman" w:hAnsi="Times New Roman" w:cs="Times New Roman"/>
          <w:b/>
          <w:bCs/>
        </w:rPr>
        <w:t xml:space="preserve">Michael </w:t>
      </w:r>
      <w:proofErr w:type="spellStart"/>
      <w:r w:rsidR="00F25E2F" w:rsidRPr="003D7939">
        <w:rPr>
          <w:rFonts w:ascii="Times New Roman" w:hAnsi="Times New Roman" w:cs="Times New Roman"/>
          <w:b/>
          <w:bCs/>
        </w:rPr>
        <w:t>Due</w:t>
      </w:r>
      <w:proofErr w:type="spellEnd"/>
      <w:r w:rsidR="00F25E2F" w:rsidRPr="003D7939">
        <w:rPr>
          <w:rFonts w:ascii="Times New Roman" w:hAnsi="Times New Roman" w:cs="Times New Roman"/>
          <w:b/>
          <w:bCs/>
        </w:rPr>
        <w:t xml:space="preserve"> Nielsen </w:t>
      </w:r>
      <w:r w:rsidR="00F25E2F" w:rsidRPr="003D7939">
        <w:rPr>
          <w:rFonts w:ascii="Times New Roman" w:hAnsi="Times New Roman" w:cs="Times New Roman"/>
          <w:b/>
        </w:rPr>
        <w:t>között folyamatban volt C</w:t>
      </w:r>
      <w:r w:rsidR="00F25E2F" w:rsidRPr="003D7939">
        <w:rPr>
          <w:rFonts w:ascii="Times New Roman" w:hAnsi="Times New Roman" w:cs="Times New Roman"/>
          <w:b/>
        </w:rPr>
        <w:noBreakHyphen/>
        <w:t>402/03. sz. ügyben</w:t>
      </w:r>
      <w:r w:rsidR="00F25E2F" w:rsidRPr="003D7939">
        <w:rPr>
          <w:rFonts w:ascii="Times New Roman" w:hAnsi="Times New Roman" w:cs="Times New Roman"/>
        </w:rPr>
        <w:t xml:space="preserve"> rámutatott az</w:t>
      </w:r>
      <w:r w:rsidR="00F25E2F" w:rsidRPr="003D7939">
        <w:rPr>
          <w:rFonts w:ascii="Times New Roman" w:hAnsi="Times New Roman" w:cs="Times New Roman"/>
          <w:bCs/>
        </w:rPr>
        <w:t xml:space="preserve"> irányelv úgy értelmezendő, hogy </w:t>
      </w:r>
    </w:p>
    <w:p w:rsidR="00F25E2F" w:rsidRPr="003D7939" w:rsidRDefault="00F25E2F" w:rsidP="00382356">
      <w:pPr>
        <w:pStyle w:val="c02alineaalta"/>
        <w:numPr>
          <w:ilvl w:val="0"/>
          <w:numId w:val="41"/>
        </w:numPr>
        <w:spacing w:before="0" w:beforeAutospacing="0" w:after="0" w:afterAutospacing="0"/>
        <w:jc w:val="both"/>
      </w:pPr>
      <w:r w:rsidRPr="003D7939">
        <w:rPr>
          <w:bCs/>
        </w:rPr>
        <w:t xml:space="preserve">azzal ellentétes egy olyan nemzeti szabály, amelynek értelmében a szállító - az irányelv 3. cikkének (3) bekezdésében kimerítően felsorolt eseteken kívül - az irányelvben előírt és a gyártót terhelő objektív felelősséggel felel, </w:t>
      </w:r>
    </w:p>
    <w:p w:rsidR="00F25E2F" w:rsidRPr="003D7939" w:rsidRDefault="00F25E2F" w:rsidP="00382356">
      <w:pPr>
        <w:pStyle w:val="c02alineaalta"/>
        <w:numPr>
          <w:ilvl w:val="0"/>
          <w:numId w:val="41"/>
        </w:numPr>
        <w:spacing w:before="0" w:beforeAutospacing="0" w:after="0" w:afterAutospacing="0"/>
        <w:jc w:val="both"/>
      </w:pPr>
      <w:r w:rsidRPr="003D7939">
        <w:rPr>
          <w:bCs/>
        </w:rPr>
        <w:t>az nem ellentétes olyan nemzeti szabályozással, amelynek értelmében a szállító a gyártó vétkességen alapuló felelősségével korlátlanul köteles felelni.</w:t>
      </w:r>
    </w:p>
    <w:p w:rsidR="00DF5991" w:rsidRDefault="00DF5991" w:rsidP="00382356">
      <w:pPr>
        <w:pStyle w:val="c02alineaalta"/>
        <w:spacing w:before="0" w:beforeAutospacing="0" w:after="0" w:afterAutospacing="0"/>
        <w:jc w:val="both"/>
        <w:rPr>
          <w:snapToGrid w:val="0"/>
          <w:color w:val="000000" w:themeColor="text1"/>
        </w:rPr>
      </w:pPr>
    </w:p>
    <w:p w:rsidR="00EE035E" w:rsidRPr="003D7939" w:rsidRDefault="00EE035E" w:rsidP="00382356">
      <w:pPr>
        <w:pStyle w:val="c02alineaalta"/>
        <w:spacing w:before="0" w:beforeAutospacing="0" w:after="0" w:afterAutospacing="0"/>
        <w:jc w:val="both"/>
        <w:rPr>
          <w:snapToGrid w:val="0"/>
          <w:color w:val="000000" w:themeColor="text1"/>
        </w:rPr>
      </w:pPr>
      <w:proofErr w:type="gramStart"/>
      <w:r w:rsidRPr="003D7939">
        <w:rPr>
          <w:snapToGrid w:val="0"/>
          <w:color w:val="000000" w:themeColor="text1"/>
        </w:rPr>
        <w:t>Mindazonáltal a</w:t>
      </w:r>
      <w:r w:rsidRPr="003D7939">
        <w:t xml:space="preserve">z Európai Bíróság a </w:t>
      </w:r>
      <w:r w:rsidRPr="003D7939">
        <w:rPr>
          <w:b/>
        </w:rPr>
        <w:t>C</w:t>
      </w:r>
      <w:r w:rsidRPr="003D7939">
        <w:rPr>
          <w:b/>
        </w:rPr>
        <w:noBreakHyphen/>
        <w:t xml:space="preserve">495/10. számú  </w:t>
      </w:r>
      <w:r w:rsidRPr="003D7939">
        <w:rPr>
          <w:b/>
          <w:bCs/>
        </w:rPr>
        <w:t xml:space="preserve">Centre </w:t>
      </w:r>
      <w:proofErr w:type="spellStart"/>
      <w:r w:rsidRPr="003D7939">
        <w:rPr>
          <w:b/>
          <w:bCs/>
        </w:rPr>
        <w:t>hospitalier</w:t>
      </w:r>
      <w:proofErr w:type="spellEnd"/>
      <w:r w:rsidRPr="003D7939">
        <w:rPr>
          <w:b/>
          <w:bCs/>
        </w:rPr>
        <w:t xml:space="preserve"> </w:t>
      </w:r>
      <w:proofErr w:type="spellStart"/>
      <w:r w:rsidRPr="003D7939">
        <w:rPr>
          <w:b/>
          <w:bCs/>
        </w:rPr>
        <w:t>universitaire</w:t>
      </w:r>
      <w:proofErr w:type="spellEnd"/>
      <w:r w:rsidRPr="003D7939">
        <w:rPr>
          <w:b/>
          <w:bCs/>
        </w:rPr>
        <w:t xml:space="preserve"> de </w:t>
      </w:r>
      <w:proofErr w:type="spellStart"/>
      <w:r w:rsidRPr="003D7939">
        <w:rPr>
          <w:b/>
          <w:bCs/>
        </w:rPr>
        <w:t>Besançon</w:t>
      </w:r>
      <w:proofErr w:type="spellEnd"/>
      <w:r w:rsidRPr="003D7939">
        <w:rPr>
          <w:b/>
          <w:bCs/>
        </w:rPr>
        <w:t xml:space="preserve"> kontra Thomas </w:t>
      </w:r>
      <w:proofErr w:type="spellStart"/>
      <w:r w:rsidRPr="003D7939">
        <w:rPr>
          <w:b/>
          <w:bCs/>
        </w:rPr>
        <w:t>Dutrueux</w:t>
      </w:r>
      <w:proofErr w:type="spellEnd"/>
      <w:r w:rsidRPr="003D7939">
        <w:rPr>
          <w:b/>
        </w:rPr>
        <w:t xml:space="preserve">, </w:t>
      </w:r>
      <w:proofErr w:type="spellStart"/>
      <w:r w:rsidRPr="003D7939">
        <w:rPr>
          <w:b/>
          <w:bCs/>
        </w:rPr>
        <w:t>Caisse</w:t>
      </w:r>
      <w:proofErr w:type="spellEnd"/>
      <w:r w:rsidRPr="003D7939">
        <w:rPr>
          <w:b/>
          <w:bCs/>
        </w:rPr>
        <w:t xml:space="preserve"> </w:t>
      </w:r>
      <w:proofErr w:type="spellStart"/>
      <w:r w:rsidRPr="003D7939">
        <w:rPr>
          <w:b/>
          <w:bCs/>
        </w:rPr>
        <w:t>primaire</w:t>
      </w:r>
      <w:proofErr w:type="spellEnd"/>
      <w:r w:rsidRPr="003D7939">
        <w:rPr>
          <w:b/>
          <w:bCs/>
        </w:rPr>
        <w:t xml:space="preserve"> </w:t>
      </w:r>
      <w:proofErr w:type="spellStart"/>
      <w:r w:rsidRPr="003D7939">
        <w:rPr>
          <w:b/>
          <w:bCs/>
        </w:rPr>
        <w:t>d’assurance</w:t>
      </w:r>
      <w:proofErr w:type="spellEnd"/>
      <w:r w:rsidRPr="003D7939">
        <w:rPr>
          <w:b/>
          <w:bCs/>
        </w:rPr>
        <w:t xml:space="preserve"> </w:t>
      </w:r>
      <w:proofErr w:type="spellStart"/>
      <w:r w:rsidRPr="003D7939">
        <w:rPr>
          <w:b/>
          <w:bCs/>
        </w:rPr>
        <w:t>maladie</w:t>
      </w:r>
      <w:proofErr w:type="spellEnd"/>
      <w:r w:rsidRPr="003D7939">
        <w:rPr>
          <w:b/>
          <w:bCs/>
        </w:rPr>
        <w:t xml:space="preserve"> du Jura ügyben</w:t>
      </w:r>
      <w:r w:rsidRPr="003D7939">
        <w:rPr>
          <w:bCs/>
        </w:rPr>
        <w:t xml:space="preserve"> rámutatott </w:t>
      </w:r>
      <w:r w:rsidR="001D1F21" w:rsidRPr="003D7939">
        <w:rPr>
          <w:bCs/>
        </w:rPr>
        <w:t>n</w:t>
      </w:r>
      <w:r w:rsidRPr="003D7939">
        <w:rPr>
          <w:bCs/>
        </w:rPr>
        <w:t>em ellentétes az irányelvvel az, ha a tagállam olyan szabályozást alkot, amely a keletkezett károkért valamely - az irányelv 3. cikkének rendelkezései értelmében véve nem gyártó - szolgáltatásnyújtó felelősségét írja elő az utóbbi vétkessége hiányában is</w:t>
      </w:r>
      <w:r w:rsidR="00C25C24" w:rsidRPr="003D7939">
        <w:rPr>
          <w:rStyle w:val="Lbjegyzet-hivatkozs"/>
          <w:bCs/>
        </w:rPr>
        <w:footnoteReference w:id="16"/>
      </w:r>
      <w:r w:rsidRPr="003D7939">
        <w:rPr>
          <w:bCs/>
        </w:rPr>
        <w:t>, azzal a feltétellel azonban, hogy fennmarad a károsult és/vagy az említett szolgáltató lehetősége, hogy az említett irányelv alapján hivatkozhasson a gyártó felelősségére,</w:t>
      </w:r>
      <w:proofErr w:type="gramEnd"/>
      <w:r w:rsidRPr="003D7939">
        <w:rPr>
          <w:bCs/>
        </w:rPr>
        <w:t xml:space="preserve"> </w:t>
      </w:r>
      <w:proofErr w:type="gramStart"/>
      <w:r w:rsidRPr="003D7939">
        <w:rPr>
          <w:bCs/>
        </w:rPr>
        <w:t>amennyiben</w:t>
      </w:r>
      <w:proofErr w:type="gramEnd"/>
      <w:r w:rsidRPr="003D7939">
        <w:rPr>
          <w:bCs/>
        </w:rPr>
        <w:t xml:space="preserve"> az irányelvben támasztott feltételek teljesülnek.</w:t>
      </w:r>
    </w:p>
    <w:p w:rsidR="00FD01CD" w:rsidRPr="003D7939" w:rsidRDefault="00FD01CD" w:rsidP="00382356">
      <w:pPr>
        <w:pStyle w:val="NormlWeb"/>
        <w:spacing w:before="0" w:beforeAutospacing="0" w:after="0" w:afterAutospacing="0"/>
        <w:ind w:right="71"/>
        <w:jc w:val="both"/>
      </w:pPr>
    </w:p>
    <w:p w:rsidR="009D5BC5" w:rsidRDefault="00E73003" w:rsidP="00382356">
      <w:pPr>
        <w:pStyle w:val="NormlWeb"/>
        <w:spacing w:before="0" w:beforeAutospacing="0" w:after="0" w:afterAutospacing="0"/>
        <w:ind w:right="71"/>
        <w:jc w:val="both"/>
      </w:pPr>
      <w:r w:rsidRPr="003D7939">
        <w:t xml:space="preserve">Az </w:t>
      </w:r>
      <w:r w:rsidRPr="003D7939">
        <w:rPr>
          <w:b/>
        </w:rPr>
        <w:t>irányelv 4. cikke</w:t>
      </w:r>
      <w:r w:rsidRPr="003D7939">
        <w:t xml:space="preserve"> alapján a </w:t>
      </w:r>
      <w:r w:rsidRPr="003D7939">
        <w:rPr>
          <w:b/>
        </w:rPr>
        <w:t>kárt, a hibát és a hiba és a kár közötti okozati összefüggést a károsult bizonyítja</w:t>
      </w:r>
      <w:r w:rsidRPr="003D7939">
        <w:t xml:space="preserve">. </w:t>
      </w:r>
      <w:r w:rsidR="00127385" w:rsidRPr="003D7939">
        <w:t>A kártérítési felelősség első és döntő eleme a kár megléte (</w:t>
      </w:r>
      <w:r w:rsidR="00127385" w:rsidRPr="003D7939">
        <w:rPr>
          <w:i/>
        </w:rPr>
        <w:t>Fővárosi Bíróság P.26.643/2005/47.</w:t>
      </w:r>
      <w:r w:rsidR="00127385" w:rsidRPr="003D7939">
        <w:t>)</w:t>
      </w:r>
      <w:r w:rsidR="00127385" w:rsidRPr="003D7939">
        <w:rPr>
          <w:color w:val="000000" w:themeColor="text1"/>
        </w:rPr>
        <w:t xml:space="preserve">. </w:t>
      </w:r>
      <w:r w:rsidR="00127385" w:rsidRPr="003D7939">
        <w:t xml:space="preserve">A </w:t>
      </w:r>
      <w:r w:rsidR="00127385" w:rsidRPr="003D7939">
        <w:rPr>
          <w:b/>
        </w:rPr>
        <w:t>Ptk. kártérítési felelősségre vonatkozó általános szabályának megfelelő alkalmazásából</w:t>
      </w:r>
      <w:r w:rsidR="00127385" w:rsidRPr="003D7939">
        <w:rPr>
          <w:rStyle w:val="Lbjegyzet-hivatkozs"/>
        </w:rPr>
        <w:footnoteReference w:id="17"/>
      </w:r>
      <w:r w:rsidR="00127385" w:rsidRPr="003D7939">
        <w:t xml:space="preserve"> következik, hogy a</w:t>
      </w:r>
      <w:r w:rsidR="00127385" w:rsidRPr="003D7939">
        <w:rPr>
          <w:color w:val="000000" w:themeColor="text1"/>
        </w:rPr>
        <w:t xml:space="preserve"> termékfelelősség körében a termék hibájával közvetlen okozati összefüggésben álló károk kerülhetnek megtérítésre</w:t>
      </w:r>
      <w:r w:rsidR="00C769F5" w:rsidRPr="003D7939">
        <w:rPr>
          <w:color w:val="000000" w:themeColor="text1"/>
        </w:rPr>
        <w:t>.</w:t>
      </w:r>
      <w:r w:rsidR="00127385" w:rsidRPr="003D7939">
        <w:rPr>
          <w:color w:val="000000" w:themeColor="text1"/>
        </w:rPr>
        <w:t xml:space="preserve"> </w:t>
      </w:r>
      <w:r w:rsidR="00C769F5" w:rsidRPr="003D7939">
        <w:rPr>
          <w:color w:val="000000" w:themeColor="text1"/>
        </w:rPr>
        <w:t>A</w:t>
      </w:r>
      <w:r w:rsidR="00127385" w:rsidRPr="003D7939">
        <w:rPr>
          <w:color w:val="000000" w:themeColor="text1"/>
        </w:rPr>
        <w:t xml:space="preserve"> bizonyítás </w:t>
      </w:r>
      <w:r w:rsidR="00C769F5" w:rsidRPr="003D7939">
        <w:rPr>
          <w:color w:val="000000" w:themeColor="text1"/>
        </w:rPr>
        <w:t>ekként</w:t>
      </w:r>
      <w:r w:rsidR="00127385" w:rsidRPr="003D7939">
        <w:rPr>
          <w:color w:val="000000" w:themeColor="text1"/>
        </w:rPr>
        <w:t xml:space="preserve"> mind a kár, mind pedig az okozati összefüggés tekintetében a károsultat terheli. </w:t>
      </w:r>
      <w:r w:rsidRPr="003D7939">
        <w:t>A</w:t>
      </w:r>
      <w:r w:rsidRPr="003D7939">
        <w:rPr>
          <w:snapToGrid w:val="0"/>
          <w:color w:val="000000" w:themeColor="text1"/>
        </w:rPr>
        <w:t xml:space="preserve"> </w:t>
      </w:r>
      <w:r w:rsidRPr="003D7939">
        <w:rPr>
          <w:b/>
        </w:rPr>
        <w:t>Ptk. 6:554. § (3) bekezdése</w:t>
      </w:r>
      <w:r w:rsidRPr="003D7939">
        <w:t xml:space="preserve"> szerint </w:t>
      </w:r>
      <w:r w:rsidR="00C769F5" w:rsidRPr="003D7939">
        <w:t xml:space="preserve">pedig </w:t>
      </w:r>
      <w:r w:rsidRPr="003D7939">
        <w:t xml:space="preserve">a termék hibáját </w:t>
      </w:r>
      <w:r w:rsidR="00C769F5" w:rsidRPr="003D7939">
        <w:t xml:space="preserve">úgyszintén </w:t>
      </w:r>
      <w:r w:rsidRPr="003D7939">
        <w:t xml:space="preserve">a károsultnak kell bizonyítania. </w:t>
      </w:r>
    </w:p>
    <w:p w:rsidR="00127385" w:rsidRPr="003D7939" w:rsidRDefault="009D5BC5" w:rsidP="00382356">
      <w:pPr>
        <w:pStyle w:val="NormlWeb"/>
        <w:spacing w:before="0" w:beforeAutospacing="0" w:after="0" w:afterAutospacing="0"/>
        <w:ind w:right="71"/>
        <w:jc w:val="both"/>
      </w:pPr>
      <w:r>
        <w:lastRenderedPageBreak/>
        <w:t>Jellemzően a</w:t>
      </w:r>
      <w:r w:rsidR="00127385" w:rsidRPr="003D7939">
        <w:t xml:space="preserve"> tanúk nyilatkozata - még a felperesi állítást alátámasztó nyilatkozat esetén is - csak valószínűsítené a gyári hiba fennállását, annak bizonyítására igazságügyi szakértő tud kétséget kizáró módon, szakvéleményében a konkrét termék vizsgálata után az adott hiba vonatkozásában nyilatkozni (</w:t>
      </w:r>
      <w:r w:rsidR="00127385" w:rsidRPr="003D7939">
        <w:rPr>
          <w:i/>
        </w:rPr>
        <w:t>Pesti Központi Kerületi Bíróság 36</w:t>
      </w:r>
      <w:proofErr w:type="gramStart"/>
      <w:r w:rsidR="00127385" w:rsidRPr="003D7939">
        <w:rPr>
          <w:i/>
        </w:rPr>
        <w:t>.P.</w:t>
      </w:r>
      <w:proofErr w:type="gramEnd"/>
      <w:r w:rsidR="00127385" w:rsidRPr="003D7939">
        <w:rPr>
          <w:i/>
        </w:rPr>
        <w:t xml:space="preserve"> 88.221/2006/23.</w:t>
      </w:r>
      <w:r w:rsidR="00127385" w:rsidRPr="003D7939">
        <w:t xml:space="preserve">). </w:t>
      </w:r>
    </w:p>
    <w:p w:rsidR="00E73003" w:rsidRPr="003D7939" w:rsidRDefault="00E73003" w:rsidP="00382356">
      <w:pPr>
        <w:pStyle w:val="NormlWeb"/>
        <w:spacing w:before="0" w:beforeAutospacing="0" w:after="0" w:afterAutospacing="0"/>
        <w:ind w:right="71"/>
        <w:jc w:val="both"/>
      </w:pPr>
    </w:p>
    <w:p w:rsidR="008E1C2B" w:rsidRPr="003D7939" w:rsidRDefault="001A6EE8" w:rsidP="00382356">
      <w:pPr>
        <w:pStyle w:val="NormlWeb"/>
        <w:spacing w:before="0" w:beforeAutospacing="0" w:after="0" w:afterAutospacing="0"/>
        <w:ind w:right="71"/>
        <w:jc w:val="both"/>
        <w:rPr>
          <w:snapToGrid w:val="0"/>
          <w:color w:val="000000" w:themeColor="text1"/>
        </w:rPr>
      </w:pPr>
      <w:r w:rsidRPr="003D7939">
        <w:t>Ehhez képest a kimentési okok tükrében érvényesül - a termék hibájának bizonyítása esetén - a gyártó oldaláról a kimentési bizonyítás lehetősége. A</w:t>
      </w:r>
      <w:r w:rsidR="00B64FC7" w:rsidRPr="003D7939">
        <w:rPr>
          <w:snapToGrid w:val="0"/>
          <w:color w:val="000000" w:themeColor="text1"/>
        </w:rPr>
        <w:t xml:space="preserve"> Ptk. szűk körben</w:t>
      </w:r>
      <w:r w:rsidR="008E1C2B" w:rsidRPr="003D7939">
        <w:rPr>
          <w:snapToGrid w:val="0"/>
          <w:color w:val="000000" w:themeColor="text1"/>
        </w:rPr>
        <w:t xml:space="preserve"> (az </w:t>
      </w:r>
      <w:r w:rsidR="008E1C2B" w:rsidRPr="003D7939">
        <w:rPr>
          <w:b/>
          <w:snapToGrid w:val="0"/>
          <w:color w:val="000000" w:themeColor="text1"/>
        </w:rPr>
        <w:t>irányelv 7. cikkében</w:t>
      </w:r>
      <w:r w:rsidR="008E1C2B" w:rsidRPr="003D7939">
        <w:rPr>
          <w:snapToGrid w:val="0"/>
          <w:color w:val="000000" w:themeColor="text1"/>
        </w:rPr>
        <w:t xml:space="preserve"> meghatározottak szerint)</w:t>
      </w:r>
      <w:r w:rsidRPr="003D7939">
        <w:rPr>
          <w:snapToGrid w:val="0"/>
          <w:color w:val="000000" w:themeColor="text1"/>
        </w:rPr>
        <w:t>, hangsúlyozandóan kizárólag a normaszövegben</w:t>
      </w:r>
      <w:r w:rsidR="00B64FC7" w:rsidRPr="003D7939">
        <w:rPr>
          <w:snapToGrid w:val="0"/>
          <w:color w:val="000000" w:themeColor="text1"/>
        </w:rPr>
        <w:t xml:space="preserve"> szabályozott esetekben </w:t>
      </w:r>
      <w:r w:rsidR="00B64FC7" w:rsidRPr="003D7939">
        <w:rPr>
          <w:b/>
          <w:snapToGrid w:val="0"/>
          <w:color w:val="000000" w:themeColor="text1"/>
        </w:rPr>
        <w:t>lehetővé teszi a</w:t>
      </w:r>
      <w:r w:rsidR="00B64FC7" w:rsidRPr="003D7939">
        <w:rPr>
          <w:snapToGrid w:val="0"/>
          <w:color w:val="000000" w:themeColor="text1"/>
        </w:rPr>
        <w:t xml:space="preserve"> </w:t>
      </w:r>
      <w:r w:rsidR="00B64FC7" w:rsidRPr="003D7939">
        <w:rPr>
          <w:b/>
          <w:snapToGrid w:val="0"/>
          <w:color w:val="000000" w:themeColor="text1"/>
        </w:rPr>
        <w:t>gyártó felel</w:t>
      </w:r>
      <w:r w:rsidR="008E1C2B" w:rsidRPr="003D7939">
        <w:rPr>
          <w:b/>
          <w:snapToGrid w:val="0"/>
          <w:color w:val="000000" w:themeColor="text1"/>
        </w:rPr>
        <w:t>ősség alóli mentesülését</w:t>
      </w:r>
      <w:r w:rsidR="008E1C2B" w:rsidRPr="003D7939">
        <w:rPr>
          <w:snapToGrid w:val="0"/>
          <w:color w:val="000000" w:themeColor="text1"/>
        </w:rPr>
        <w:t>.</w:t>
      </w:r>
    </w:p>
    <w:p w:rsidR="008E1C2B" w:rsidRPr="003D7939" w:rsidRDefault="008E1C2B" w:rsidP="00382356">
      <w:pPr>
        <w:pStyle w:val="NormlWeb"/>
        <w:spacing w:before="0" w:beforeAutospacing="0" w:after="0" w:afterAutospacing="0"/>
        <w:ind w:right="71"/>
        <w:jc w:val="both"/>
        <w:rPr>
          <w:snapToGrid w:val="0"/>
          <w:color w:val="000000" w:themeColor="text1"/>
        </w:rPr>
      </w:pPr>
    </w:p>
    <w:p w:rsidR="009524BD" w:rsidRPr="003D7939" w:rsidRDefault="008E1C2B" w:rsidP="00382356">
      <w:pPr>
        <w:pStyle w:val="NormlWeb"/>
        <w:spacing w:before="0" w:beforeAutospacing="0" w:after="0" w:afterAutospacing="0"/>
        <w:ind w:right="71"/>
        <w:jc w:val="both"/>
      </w:pPr>
      <w:r w:rsidRPr="003D7939">
        <w:rPr>
          <w:snapToGrid w:val="0"/>
          <w:color w:val="000000" w:themeColor="text1"/>
        </w:rPr>
        <w:t>A</w:t>
      </w:r>
      <w:r w:rsidR="001A6EE8" w:rsidRPr="003D7939">
        <w:rPr>
          <w:snapToGrid w:val="0"/>
          <w:color w:val="000000" w:themeColor="text1"/>
        </w:rPr>
        <w:t xml:space="preserve"> </w:t>
      </w:r>
      <w:r w:rsidR="001A6EE8" w:rsidRPr="003D7939">
        <w:rPr>
          <w:b/>
          <w:snapToGrid w:val="0"/>
          <w:color w:val="000000" w:themeColor="text1"/>
        </w:rPr>
        <w:t xml:space="preserve">Ptk. </w:t>
      </w:r>
      <w:r w:rsidR="009524BD" w:rsidRPr="003D7939">
        <w:rPr>
          <w:b/>
          <w:snapToGrid w:val="0"/>
          <w:color w:val="000000" w:themeColor="text1"/>
        </w:rPr>
        <w:t>6:555. § (1) bekezdése</w:t>
      </w:r>
      <w:r w:rsidR="009524BD" w:rsidRPr="003D7939">
        <w:rPr>
          <w:snapToGrid w:val="0"/>
          <w:color w:val="000000" w:themeColor="text1"/>
        </w:rPr>
        <w:t xml:space="preserve"> alapján </w:t>
      </w:r>
      <w:r w:rsidRPr="003D7939">
        <w:rPr>
          <w:snapToGrid w:val="0"/>
          <w:color w:val="000000" w:themeColor="text1"/>
        </w:rPr>
        <w:t xml:space="preserve">a gyártó </w:t>
      </w:r>
      <w:r w:rsidR="009524BD" w:rsidRPr="003D7939">
        <w:rPr>
          <w:snapToGrid w:val="0"/>
          <w:color w:val="000000" w:themeColor="text1"/>
        </w:rPr>
        <w:t>akkor</w:t>
      </w:r>
      <w:r w:rsidRPr="003D7939">
        <w:rPr>
          <w:snapToGrid w:val="0"/>
          <w:color w:val="000000" w:themeColor="text1"/>
        </w:rPr>
        <w:t xml:space="preserve"> mentesül a felelősség alól</w:t>
      </w:r>
      <w:r w:rsidR="009524BD" w:rsidRPr="003D7939">
        <w:rPr>
          <w:snapToGrid w:val="0"/>
          <w:color w:val="000000" w:themeColor="text1"/>
        </w:rPr>
        <w:t xml:space="preserve">, </w:t>
      </w:r>
      <w:r w:rsidR="009524BD" w:rsidRPr="003D7939">
        <w:t>ha bizonyítja, hogy</w:t>
      </w:r>
    </w:p>
    <w:p w:rsidR="009524BD" w:rsidRPr="003D7939" w:rsidRDefault="009524BD" w:rsidP="00382356">
      <w:pPr>
        <w:pStyle w:val="NormlWeb"/>
        <w:numPr>
          <w:ilvl w:val="0"/>
          <w:numId w:val="37"/>
        </w:numPr>
        <w:spacing w:before="0" w:beforeAutospacing="0" w:after="0" w:afterAutospacing="0"/>
        <w:ind w:right="71"/>
        <w:jc w:val="both"/>
      </w:pPr>
      <w:bookmarkStart w:id="20" w:name="pr6524"/>
      <w:bookmarkEnd w:id="20"/>
      <w:r w:rsidRPr="003D7939">
        <w:t>a terméket nem hozta forgalomba;</w:t>
      </w:r>
    </w:p>
    <w:p w:rsidR="009524BD" w:rsidRPr="003D7939" w:rsidRDefault="009524BD" w:rsidP="00382356">
      <w:pPr>
        <w:pStyle w:val="NormlWeb"/>
        <w:numPr>
          <w:ilvl w:val="0"/>
          <w:numId w:val="37"/>
        </w:numPr>
        <w:spacing w:before="0" w:beforeAutospacing="0" w:after="0" w:afterAutospacing="0"/>
        <w:ind w:right="71"/>
        <w:jc w:val="both"/>
      </w:pPr>
      <w:r w:rsidRPr="003D7939">
        <w:t>terméket nem üzletszerű forgalmazás céljából állította elő, illetve azt nem üzletszerű gazdasági tevékenység körében gyártotta vagy forgalmazta;</w:t>
      </w:r>
    </w:p>
    <w:p w:rsidR="009524BD" w:rsidRPr="003D7939" w:rsidRDefault="009524BD" w:rsidP="00382356">
      <w:pPr>
        <w:pStyle w:val="NormlWeb"/>
        <w:numPr>
          <w:ilvl w:val="0"/>
          <w:numId w:val="37"/>
        </w:numPr>
        <w:spacing w:before="0" w:beforeAutospacing="0" w:after="0" w:afterAutospacing="0"/>
        <w:ind w:right="71"/>
        <w:jc w:val="both"/>
      </w:pPr>
      <w:r w:rsidRPr="003D7939">
        <w:t>a termék az általa történő forgalomba hozatal időpontjában hibátlan volt, és a hiba oka később keletkezett;</w:t>
      </w:r>
    </w:p>
    <w:p w:rsidR="009524BD" w:rsidRPr="003D7939" w:rsidRDefault="009524BD" w:rsidP="00382356">
      <w:pPr>
        <w:pStyle w:val="NormlWeb"/>
        <w:numPr>
          <w:ilvl w:val="0"/>
          <w:numId w:val="37"/>
        </w:numPr>
        <w:spacing w:before="0" w:beforeAutospacing="0" w:after="0" w:afterAutospacing="0"/>
        <w:ind w:right="71"/>
        <w:jc w:val="both"/>
      </w:pPr>
      <w:r w:rsidRPr="003D7939">
        <w:t>a termék általa történő forgalomba hozatala időpontjában a hiba a tudomány és a technika állása szerint nem volt felismerhető</w:t>
      </w:r>
      <w:r w:rsidR="007A13E0" w:rsidRPr="003D7939">
        <w:rPr>
          <w:rStyle w:val="Lbjegyzet-hivatkozs"/>
        </w:rPr>
        <w:footnoteReference w:id="18"/>
      </w:r>
      <w:r w:rsidRPr="003D7939">
        <w:t xml:space="preserve"> (kivéve a gyógyszer előírás szerinti alkalmazásával okozott kár </w:t>
      </w:r>
      <w:proofErr w:type="gramStart"/>
      <w:r w:rsidRPr="003D7939">
        <w:t>esetén</w:t>
      </w:r>
      <w:r w:rsidR="000E4488">
        <w:rPr>
          <w:rStyle w:val="Lbjegyzet-hivatkozs"/>
        </w:rPr>
        <w:footnoteReference w:id="19"/>
      </w:r>
      <w:r w:rsidRPr="003D7939">
        <w:t>)</w:t>
      </w:r>
      <w:proofErr w:type="gramEnd"/>
      <w:r w:rsidRPr="003D7939">
        <w:t>;</w:t>
      </w:r>
    </w:p>
    <w:p w:rsidR="009524BD" w:rsidRPr="003D7939" w:rsidRDefault="009524BD" w:rsidP="00382356">
      <w:pPr>
        <w:pStyle w:val="NormlWeb"/>
        <w:numPr>
          <w:ilvl w:val="0"/>
          <w:numId w:val="37"/>
        </w:numPr>
        <w:spacing w:before="0" w:beforeAutospacing="0" w:after="0" w:afterAutospacing="0"/>
        <w:ind w:right="71"/>
        <w:jc w:val="both"/>
      </w:pPr>
      <w:r w:rsidRPr="003D7939">
        <w:t>a termék hibáját jogszabály vagy kötelező hatósági előírás alkalmazása okozta.</w:t>
      </w:r>
    </w:p>
    <w:p w:rsidR="001A6EE8" w:rsidRPr="003D7939" w:rsidRDefault="001A6EE8" w:rsidP="00382356">
      <w:pPr>
        <w:ind w:left="12" w:right="52"/>
        <w:jc w:val="both"/>
        <w:rPr>
          <w:rFonts w:ascii="Times New Roman" w:hAnsi="Times New Roman" w:cs="Times New Roman"/>
          <w:snapToGrid w:val="0"/>
          <w:color w:val="000000" w:themeColor="text1"/>
        </w:rPr>
      </w:pPr>
    </w:p>
    <w:p w:rsidR="009524BD" w:rsidRPr="003D7939" w:rsidRDefault="009524BD" w:rsidP="00382356">
      <w:pPr>
        <w:pStyle w:val="NormlWeb"/>
        <w:spacing w:before="0" w:beforeAutospacing="0" w:after="0" w:afterAutospacing="0"/>
        <w:ind w:right="71"/>
        <w:jc w:val="both"/>
      </w:pPr>
      <w:r w:rsidRPr="003D7939">
        <w:rPr>
          <w:snapToGrid w:val="0"/>
          <w:color w:val="000000" w:themeColor="text1"/>
        </w:rPr>
        <w:t xml:space="preserve">Emellett pedig a </w:t>
      </w:r>
      <w:r w:rsidRPr="003D7939">
        <w:rPr>
          <w:b/>
          <w:snapToGrid w:val="0"/>
          <w:color w:val="000000" w:themeColor="text1"/>
        </w:rPr>
        <w:t xml:space="preserve">Ptk. 6:555. § </w:t>
      </w:r>
      <w:r w:rsidRPr="003D7939">
        <w:rPr>
          <w:b/>
        </w:rPr>
        <w:t>(2) bekezdése</w:t>
      </w:r>
      <w:r w:rsidRPr="003D7939">
        <w:t xml:space="preserve"> alapján az alapanyag vagy a résztermék gyártója mentesül a felelősség alól, ha bizonyítja, hogy</w:t>
      </w:r>
    </w:p>
    <w:p w:rsidR="009524BD" w:rsidRPr="003D7939" w:rsidRDefault="009524BD" w:rsidP="00382356">
      <w:pPr>
        <w:pStyle w:val="NormlWeb"/>
        <w:numPr>
          <w:ilvl w:val="0"/>
          <w:numId w:val="38"/>
        </w:numPr>
        <w:spacing w:before="0" w:beforeAutospacing="0" w:after="0" w:afterAutospacing="0"/>
        <w:ind w:right="71"/>
        <w:jc w:val="both"/>
      </w:pPr>
      <w:bookmarkStart w:id="21" w:name="pr6530"/>
      <w:bookmarkEnd w:id="21"/>
      <w:r w:rsidRPr="003D7939">
        <w:t>a hibát a végtermék szerkezete, illetve összetétele okozta; vagy</w:t>
      </w:r>
    </w:p>
    <w:p w:rsidR="009524BD" w:rsidRPr="003D7939" w:rsidRDefault="009524BD" w:rsidP="00382356">
      <w:pPr>
        <w:pStyle w:val="NormlWeb"/>
        <w:numPr>
          <w:ilvl w:val="0"/>
          <w:numId w:val="38"/>
        </w:numPr>
        <w:spacing w:before="0" w:beforeAutospacing="0" w:after="0" w:afterAutospacing="0"/>
        <w:ind w:right="71"/>
        <w:jc w:val="both"/>
      </w:pPr>
      <w:r w:rsidRPr="003D7939">
        <w:t>a hiba a végterméket gyártó utasításának a következménye.</w:t>
      </w:r>
    </w:p>
    <w:p w:rsidR="001F3099" w:rsidRPr="003D7939" w:rsidRDefault="001F3099" w:rsidP="00382356">
      <w:pPr>
        <w:ind w:left="12" w:right="52"/>
        <w:jc w:val="both"/>
        <w:rPr>
          <w:rFonts w:ascii="Times New Roman" w:hAnsi="Times New Roman" w:cs="Times New Roman"/>
          <w:snapToGrid w:val="0"/>
          <w:color w:val="000000" w:themeColor="text1"/>
        </w:rPr>
      </w:pPr>
    </w:p>
    <w:p w:rsidR="009524BD" w:rsidRPr="003D7939" w:rsidRDefault="009524BD" w:rsidP="00382356">
      <w:pPr>
        <w:ind w:left="12" w:right="52"/>
        <w:jc w:val="both"/>
        <w:rPr>
          <w:rFonts w:ascii="Times New Roman" w:hAnsi="Times New Roman" w:cs="Times New Roman"/>
          <w:i/>
          <w:iCs/>
        </w:rPr>
      </w:pPr>
      <w:r w:rsidRPr="003D7939">
        <w:rPr>
          <w:rFonts w:ascii="Times New Roman" w:hAnsi="Times New Roman" w:cs="Times New Roman"/>
          <w:snapToGrid w:val="0"/>
          <w:color w:val="000000" w:themeColor="text1"/>
        </w:rPr>
        <w:t>Megjegyzendő</w:t>
      </w:r>
      <w:r w:rsidR="001F3099" w:rsidRPr="003D7939">
        <w:rPr>
          <w:rFonts w:ascii="Times New Roman" w:hAnsi="Times New Roman" w:cs="Times New Roman"/>
          <w:snapToGrid w:val="0"/>
          <w:color w:val="000000" w:themeColor="text1"/>
        </w:rPr>
        <w:t xml:space="preserve"> ugyanakkor</w:t>
      </w:r>
      <w:r w:rsidRPr="003D7939">
        <w:rPr>
          <w:rFonts w:ascii="Times New Roman" w:hAnsi="Times New Roman" w:cs="Times New Roman"/>
          <w:snapToGrid w:val="0"/>
          <w:color w:val="000000" w:themeColor="text1"/>
        </w:rPr>
        <w:t xml:space="preserve">, hogy </w:t>
      </w:r>
      <w:r w:rsidRPr="003D7939">
        <w:rPr>
          <w:rFonts w:ascii="Times New Roman" w:hAnsi="Times New Roman" w:cs="Times New Roman"/>
        </w:rPr>
        <w:t xml:space="preserve">a </w:t>
      </w:r>
      <w:r w:rsidRPr="003D7939">
        <w:rPr>
          <w:rFonts w:ascii="Times New Roman" w:hAnsi="Times New Roman" w:cs="Times New Roman"/>
          <w:b/>
        </w:rPr>
        <w:t>Ptk. 6:556. §</w:t>
      </w:r>
      <w:r w:rsidRPr="003D7939">
        <w:rPr>
          <w:rFonts w:ascii="Times New Roman" w:hAnsi="Times New Roman" w:cs="Times New Roman"/>
        </w:rPr>
        <w:t xml:space="preserve"> szerint a </w:t>
      </w:r>
      <w:r w:rsidRPr="003D7939">
        <w:rPr>
          <w:rFonts w:ascii="Times New Roman" w:hAnsi="Times New Roman" w:cs="Times New Roman"/>
          <w:b/>
        </w:rPr>
        <w:t>gyártó nem mentesül</w:t>
      </w:r>
      <w:r w:rsidRPr="003D7939">
        <w:rPr>
          <w:rFonts w:ascii="Times New Roman" w:hAnsi="Times New Roman" w:cs="Times New Roman"/>
        </w:rPr>
        <w:t xml:space="preserve"> a felelősség alól arra hivatkozással sem, hogy a kár bekövetkeztében </w:t>
      </w:r>
      <w:r w:rsidRPr="003D7939">
        <w:rPr>
          <w:rFonts w:ascii="Times New Roman" w:hAnsi="Times New Roman" w:cs="Times New Roman"/>
          <w:b/>
        </w:rPr>
        <w:t>harmadik személy magatartása is közrehatott</w:t>
      </w:r>
      <w:r w:rsidRPr="003D7939">
        <w:rPr>
          <w:rFonts w:ascii="Times New Roman" w:hAnsi="Times New Roman" w:cs="Times New Roman"/>
        </w:rPr>
        <w:t xml:space="preserve"> (ez a </w:t>
      </w:r>
      <w:r w:rsidRPr="003D7939">
        <w:rPr>
          <w:rFonts w:ascii="Times New Roman" w:hAnsi="Times New Roman" w:cs="Times New Roman"/>
        </w:rPr>
        <w:lastRenderedPageBreak/>
        <w:t>szabály nem érinti a gyártónak a harmadik személlyel szemben érvényesíthető igényét).</w:t>
      </w:r>
      <w:r w:rsidR="00250B08" w:rsidRPr="003D7939">
        <w:rPr>
          <w:rFonts w:ascii="Times New Roman" w:hAnsi="Times New Roman" w:cs="Times New Roman"/>
        </w:rPr>
        <w:t xml:space="preserve"> Ez </w:t>
      </w:r>
      <w:r w:rsidR="00250B08" w:rsidRPr="003D7939">
        <w:rPr>
          <w:rFonts w:ascii="Times New Roman" w:hAnsi="Times New Roman" w:cs="Times New Roman"/>
          <w:b/>
        </w:rPr>
        <w:t>összhangban</w:t>
      </w:r>
      <w:r w:rsidR="00250B08" w:rsidRPr="003D7939">
        <w:rPr>
          <w:rFonts w:ascii="Times New Roman" w:hAnsi="Times New Roman" w:cs="Times New Roman"/>
        </w:rPr>
        <w:t xml:space="preserve"> áll az </w:t>
      </w:r>
      <w:r w:rsidR="00250B08" w:rsidRPr="003D7939">
        <w:rPr>
          <w:rFonts w:ascii="Times New Roman" w:hAnsi="Times New Roman" w:cs="Times New Roman"/>
          <w:b/>
        </w:rPr>
        <w:t>irányelv 8. cikk (1) bekezdésében foglaltakkal</w:t>
      </w:r>
      <w:r w:rsidR="00250B08" w:rsidRPr="003D7939">
        <w:rPr>
          <w:rFonts w:ascii="Times New Roman" w:hAnsi="Times New Roman" w:cs="Times New Roman"/>
        </w:rPr>
        <w:t xml:space="preserve">, miszerint az igényérvényesítésre vonatkozó nemzeti jogszabályok sérelme nélkül, a gyártó felelőssége nem csökken </w:t>
      </w:r>
      <w:proofErr w:type="gramStart"/>
      <w:r w:rsidR="00250B08" w:rsidRPr="003D7939">
        <w:rPr>
          <w:rFonts w:ascii="Times New Roman" w:hAnsi="Times New Roman" w:cs="Times New Roman"/>
        </w:rPr>
        <w:t>azáltal</w:t>
      </w:r>
      <w:proofErr w:type="gramEnd"/>
      <w:r w:rsidR="00250B08" w:rsidRPr="003D7939">
        <w:rPr>
          <w:rFonts w:ascii="Times New Roman" w:hAnsi="Times New Roman" w:cs="Times New Roman"/>
        </w:rPr>
        <w:t xml:space="preserve">, ha a kárt a termék hibája és egy harmadik személy cselekedete vagy mulasztása együttesen okozzák. Az </w:t>
      </w:r>
      <w:r w:rsidR="00250B08" w:rsidRPr="003D7939">
        <w:rPr>
          <w:rFonts w:ascii="Times New Roman" w:hAnsi="Times New Roman" w:cs="Times New Roman"/>
          <w:b/>
        </w:rPr>
        <w:t>irányelv 8. cikk (2) bekezdése</w:t>
      </w:r>
      <w:r w:rsidR="00250B08" w:rsidRPr="003D7939">
        <w:rPr>
          <w:rFonts w:ascii="Times New Roman" w:hAnsi="Times New Roman" w:cs="Times New Roman"/>
        </w:rPr>
        <w:t xml:space="preserve"> szerint ugyanakkor a </w:t>
      </w:r>
      <w:r w:rsidR="00250B08" w:rsidRPr="003D7939">
        <w:rPr>
          <w:rFonts w:ascii="Times New Roman" w:hAnsi="Times New Roman" w:cs="Times New Roman"/>
          <w:b/>
        </w:rPr>
        <w:t>gyártó felelőssége csökken vagy nem áll fenn</w:t>
      </w:r>
      <w:r w:rsidR="00250B08" w:rsidRPr="003D7939">
        <w:rPr>
          <w:rFonts w:ascii="Times New Roman" w:hAnsi="Times New Roman" w:cs="Times New Roman"/>
        </w:rPr>
        <w:t xml:space="preserve">, ha tekintettel az összes körülményre, a kárt a termék hibája és a károsult vagy olyan személy okozza, akiért a károsult felelősséggel tartozik. Ez a szabály a Ptk. normaszövegében a kártérítés közös szabályaihoz visszanyúlva érhető tetten, a </w:t>
      </w:r>
      <w:r w:rsidR="00250B08" w:rsidRPr="003D7939">
        <w:rPr>
          <w:rFonts w:ascii="Times New Roman" w:hAnsi="Times New Roman" w:cs="Times New Roman"/>
          <w:b/>
        </w:rPr>
        <w:t>Ptk. 6:525. § károsulti közrehatás</w:t>
      </w:r>
      <w:r w:rsidR="00250B08" w:rsidRPr="003D7939">
        <w:rPr>
          <w:rFonts w:ascii="Times New Roman" w:hAnsi="Times New Roman" w:cs="Times New Roman"/>
        </w:rPr>
        <w:t xml:space="preserve"> szabályainak megfelelő alkalmazása által. </w:t>
      </w:r>
      <w:r w:rsidR="00153CFD" w:rsidRPr="003D7939">
        <w:rPr>
          <w:rFonts w:ascii="Times New Roman" w:hAnsi="Times New Roman" w:cs="Times New Roman"/>
          <w:iCs/>
        </w:rPr>
        <w:t xml:space="preserve">A károsult tevékenységének (mulasztásának) megítélésénél azt kell figyelembe venni, hogy a károsultnak úgy kell eljárnia, ahogy az </w:t>
      </w:r>
      <w:proofErr w:type="spellStart"/>
      <w:r w:rsidR="00153CFD" w:rsidRPr="003D7939">
        <w:rPr>
          <w:rFonts w:ascii="Times New Roman" w:hAnsi="Times New Roman" w:cs="Times New Roman"/>
          <w:iCs/>
        </w:rPr>
        <w:t>az</w:t>
      </w:r>
      <w:proofErr w:type="spellEnd"/>
      <w:r w:rsidR="00153CFD" w:rsidRPr="003D7939">
        <w:rPr>
          <w:rFonts w:ascii="Times New Roman" w:hAnsi="Times New Roman" w:cs="Times New Roman"/>
          <w:iCs/>
        </w:rPr>
        <w:t xml:space="preserve"> adott helyzetben elvárható, vagyis minden tőle telhetőt meg kell tennie a kár elhárítása és csökkentése érdekében (</w:t>
      </w:r>
      <w:r w:rsidR="00153CFD" w:rsidRPr="003D7939">
        <w:rPr>
          <w:rFonts w:ascii="Times New Roman" w:hAnsi="Times New Roman" w:cs="Times New Roman"/>
          <w:i/>
          <w:iCs/>
        </w:rPr>
        <w:t>Fővárosi Bíróság 9</w:t>
      </w:r>
      <w:proofErr w:type="gramStart"/>
      <w:r w:rsidR="00153CFD" w:rsidRPr="003D7939">
        <w:rPr>
          <w:rFonts w:ascii="Times New Roman" w:hAnsi="Times New Roman" w:cs="Times New Roman"/>
          <w:i/>
          <w:iCs/>
        </w:rPr>
        <w:t>.G</w:t>
      </w:r>
      <w:proofErr w:type="gramEnd"/>
      <w:r w:rsidR="00153CFD" w:rsidRPr="003D7939">
        <w:rPr>
          <w:rFonts w:ascii="Times New Roman" w:hAnsi="Times New Roman" w:cs="Times New Roman"/>
          <w:i/>
          <w:iCs/>
        </w:rPr>
        <w:t>. 40.915/2010/45.</w:t>
      </w:r>
      <w:r w:rsidR="00153CFD" w:rsidRPr="003D7939">
        <w:rPr>
          <w:rFonts w:ascii="Times New Roman" w:hAnsi="Times New Roman" w:cs="Times New Roman"/>
          <w:iCs/>
        </w:rPr>
        <w:t xml:space="preserve">). </w:t>
      </w:r>
      <w:r w:rsidR="00965EDE" w:rsidRPr="003D7939">
        <w:rPr>
          <w:rFonts w:ascii="Times New Roman" w:hAnsi="Times New Roman" w:cs="Times New Roman"/>
        </w:rPr>
        <w:t>Önmagában a hiba felismerhetősége ugyanakkor nem ad alapot a felelősség alóli kimentésre. Elképzelhető, hogy például a gyakorlatlan a kőműves a téglák észlelhető hibáját sem veszi észre. Ez a gondatlanság azonban a gyártó szigorú felelőssége mellett felróható közrehatásnak nem tekinthető (</w:t>
      </w:r>
      <w:r w:rsidR="00965EDE" w:rsidRPr="003D7939">
        <w:rPr>
          <w:rFonts w:ascii="Times New Roman" w:hAnsi="Times New Roman" w:cs="Times New Roman"/>
          <w:i/>
        </w:rPr>
        <w:t>Pest Megyei Bíróság 13</w:t>
      </w:r>
      <w:proofErr w:type="gramStart"/>
      <w:r w:rsidR="00965EDE" w:rsidRPr="003D7939">
        <w:rPr>
          <w:rFonts w:ascii="Times New Roman" w:hAnsi="Times New Roman" w:cs="Times New Roman"/>
          <w:i/>
        </w:rPr>
        <w:t>.P.</w:t>
      </w:r>
      <w:proofErr w:type="gramEnd"/>
      <w:r w:rsidR="00965EDE" w:rsidRPr="003D7939">
        <w:rPr>
          <w:rFonts w:ascii="Times New Roman" w:hAnsi="Times New Roman" w:cs="Times New Roman"/>
          <w:i/>
        </w:rPr>
        <w:t>20.971/2006/8.).</w:t>
      </w:r>
      <w:r w:rsidR="00153CFD" w:rsidRPr="003D7939">
        <w:rPr>
          <w:rFonts w:ascii="Times New Roman" w:hAnsi="Times New Roman" w:cs="Times New Roman"/>
          <w:i/>
          <w:iCs/>
        </w:rPr>
        <w:t xml:space="preserve"> </w:t>
      </w:r>
    </w:p>
    <w:p w:rsidR="00153CFD" w:rsidRPr="003D7939" w:rsidRDefault="00153CFD" w:rsidP="00382356">
      <w:pPr>
        <w:ind w:left="12" w:right="52"/>
        <w:jc w:val="both"/>
        <w:rPr>
          <w:rFonts w:ascii="Times New Roman" w:hAnsi="Times New Roman" w:cs="Times New Roman"/>
          <w:snapToGrid w:val="0"/>
          <w:color w:val="000000" w:themeColor="text1"/>
        </w:rPr>
      </w:pPr>
    </w:p>
    <w:p w:rsidR="00551FE5" w:rsidRPr="003D7939" w:rsidRDefault="00551FE5" w:rsidP="00382356">
      <w:pPr>
        <w:pStyle w:val="NormlWeb"/>
        <w:spacing w:before="0" w:beforeAutospacing="0" w:after="0" w:afterAutospacing="0"/>
        <w:ind w:right="71"/>
        <w:jc w:val="both"/>
      </w:pPr>
      <w:r w:rsidRPr="003D7939">
        <w:t xml:space="preserve">A korábban hatályban volt, a termékfelelősségről szóló 1993. évi X. törvény 5. § </w:t>
      </w:r>
      <w:proofErr w:type="gramStart"/>
      <w:r w:rsidRPr="003D7939">
        <w:t>alapján</w:t>
      </w:r>
      <w:proofErr w:type="gramEnd"/>
      <w:r w:rsidRPr="003D7939">
        <w:t xml:space="preserve"> ha a felelősség több személyt terhelt, úgy felelősségük a károsulttal szemben egyetemleges volt. A Ptk. a termékfelelősség intézményének speciális felelősségi formaként történő nevesítésével közvetlen kapcsolatot teremt a károkozás általános szabályai és a termékfelelősség jogintézménye között. Erre tekintettel elméletileg még az sem kizárt, hogy az eljáró bíróság az egyetemleges marasztalástól a Ptk. normaszövegében a közös károkozásnál rögzített feltételek fennállásakor </w:t>
      </w:r>
      <w:proofErr w:type="gramStart"/>
      <w:r w:rsidRPr="003D7939">
        <w:t>eltekintsen</w:t>
      </w:r>
      <w:r w:rsidRPr="003D7939">
        <w:rPr>
          <w:rStyle w:val="Lbjegyzet-hivatkozs"/>
        </w:rPr>
        <w:footnoteReference w:id="20"/>
      </w:r>
      <w:r w:rsidRPr="003D7939">
        <w:t>.</w:t>
      </w:r>
      <w:proofErr w:type="gramEnd"/>
      <w:r w:rsidRPr="003D7939">
        <w:t xml:space="preserve"> </w:t>
      </w:r>
    </w:p>
    <w:p w:rsidR="00551FE5" w:rsidRPr="003D7939" w:rsidRDefault="00551FE5" w:rsidP="00382356">
      <w:pPr>
        <w:ind w:left="12" w:right="52"/>
        <w:jc w:val="both"/>
        <w:rPr>
          <w:rFonts w:ascii="Times New Roman" w:hAnsi="Times New Roman" w:cs="Times New Roman"/>
          <w:snapToGrid w:val="0"/>
          <w:color w:val="000000" w:themeColor="text1"/>
        </w:rPr>
      </w:pPr>
    </w:p>
    <w:p w:rsidR="00066FA0" w:rsidRPr="003D7939" w:rsidRDefault="009524BD" w:rsidP="00382356">
      <w:pPr>
        <w:ind w:left="12" w:right="52"/>
        <w:jc w:val="both"/>
        <w:rPr>
          <w:rFonts w:ascii="Times New Roman" w:hAnsi="Times New Roman" w:cs="Times New Roman"/>
          <w:snapToGrid w:val="0"/>
          <w:color w:val="000000" w:themeColor="text1"/>
        </w:rPr>
      </w:pPr>
      <w:r w:rsidRPr="003D7939">
        <w:rPr>
          <w:rFonts w:ascii="Times New Roman" w:hAnsi="Times New Roman" w:cs="Times New Roman"/>
          <w:snapToGrid w:val="0"/>
          <w:color w:val="000000" w:themeColor="text1"/>
        </w:rPr>
        <w:t>A</w:t>
      </w:r>
      <w:r w:rsidR="00DF3FCD" w:rsidRPr="003D7939">
        <w:rPr>
          <w:rFonts w:ascii="Times New Roman" w:hAnsi="Times New Roman" w:cs="Times New Roman"/>
          <w:snapToGrid w:val="0"/>
          <w:color w:val="000000" w:themeColor="text1"/>
        </w:rPr>
        <w:t xml:space="preserve">z </w:t>
      </w:r>
      <w:r w:rsidR="00DF3FCD" w:rsidRPr="003D7939">
        <w:rPr>
          <w:rFonts w:ascii="Times New Roman" w:hAnsi="Times New Roman" w:cs="Times New Roman"/>
          <w:b/>
          <w:snapToGrid w:val="0"/>
          <w:color w:val="000000" w:themeColor="text1"/>
        </w:rPr>
        <w:t xml:space="preserve">irányelv 12. cikkére figyelemmel </w:t>
      </w:r>
      <w:r w:rsidR="00DF3FCD" w:rsidRPr="003D7939">
        <w:rPr>
          <w:rFonts w:ascii="Times New Roman" w:hAnsi="Times New Roman" w:cs="Times New Roman"/>
          <w:snapToGrid w:val="0"/>
          <w:color w:val="000000" w:themeColor="text1"/>
        </w:rPr>
        <w:t>a</w:t>
      </w:r>
      <w:r w:rsidRPr="003D7939">
        <w:rPr>
          <w:rFonts w:ascii="Times New Roman" w:hAnsi="Times New Roman" w:cs="Times New Roman"/>
          <w:snapToGrid w:val="0"/>
          <w:color w:val="000000" w:themeColor="text1"/>
        </w:rPr>
        <w:t xml:space="preserve"> fogyasztók érdekeinek védelme szempontjából is garanciális jelentőségű szabályt fogalmaz meg a </w:t>
      </w:r>
      <w:r w:rsidRPr="003D7939">
        <w:rPr>
          <w:rFonts w:ascii="Times New Roman" w:hAnsi="Times New Roman" w:cs="Times New Roman"/>
          <w:b/>
          <w:snapToGrid w:val="0"/>
          <w:color w:val="000000" w:themeColor="text1"/>
        </w:rPr>
        <w:t>Ptk. 6:557. §</w:t>
      </w:r>
      <w:r w:rsidRPr="003D7939">
        <w:rPr>
          <w:rFonts w:ascii="Times New Roman" w:hAnsi="Times New Roman" w:cs="Times New Roman"/>
          <w:snapToGrid w:val="0"/>
          <w:color w:val="000000" w:themeColor="text1"/>
        </w:rPr>
        <w:t xml:space="preserve"> miszerint, a </w:t>
      </w:r>
      <w:r w:rsidRPr="003D7939">
        <w:rPr>
          <w:rFonts w:ascii="Times New Roman" w:hAnsi="Times New Roman" w:cs="Times New Roman"/>
          <w:b/>
        </w:rPr>
        <w:t>károsulttal szemben a</w:t>
      </w:r>
      <w:r w:rsidRPr="003D7939">
        <w:rPr>
          <w:rFonts w:ascii="Times New Roman" w:hAnsi="Times New Roman" w:cs="Times New Roman"/>
        </w:rPr>
        <w:t xml:space="preserve"> </w:t>
      </w:r>
      <w:r w:rsidRPr="003D7939">
        <w:rPr>
          <w:rFonts w:ascii="Times New Roman" w:hAnsi="Times New Roman" w:cs="Times New Roman"/>
          <w:b/>
        </w:rPr>
        <w:t>gyártó felelősségének korlátozása vagy kizárása semmis</w:t>
      </w:r>
      <w:r w:rsidRPr="003D7939">
        <w:rPr>
          <w:rFonts w:ascii="Times New Roman" w:hAnsi="Times New Roman" w:cs="Times New Roman"/>
        </w:rPr>
        <w:t>.</w:t>
      </w:r>
      <w:r w:rsidR="00B64FC7" w:rsidRPr="003D7939">
        <w:rPr>
          <w:rFonts w:ascii="Times New Roman" w:hAnsi="Times New Roman" w:cs="Times New Roman"/>
          <w:snapToGrid w:val="0"/>
          <w:color w:val="000000" w:themeColor="text1"/>
        </w:rPr>
        <w:t xml:space="preserve"> </w:t>
      </w:r>
    </w:p>
    <w:p w:rsidR="00066FA0" w:rsidRPr="003D7939" w:rsidRDefault="00066FA0" w:rsidP="00382356">
      <w:pPr>
        <w:ind w:left="12" w:right="52"/>
        <w:jc w:val="both"/>
        <w:rPr>
          <w:rFonts w:ascii="Times New Roman" w:hAnsi="Times New Roman" w:cs="Times New Roman"/>
          <w:snapToGrid w:val="0"/>
          <w:color w:val="000000" w:themeColor="text1"/>
        </w:rPr>
      </w:pPr>
    </w:p>
    <w:p w:rsidR="00066FA0" w:rsidRDefault="009524BD" w:rsidP="00382356">
      <w:pPr>
        <w:ind w:left="12" w:right="52"/>
        <w:jc w:val="both"/>
        <w:rPr>
          <w:rFonts w:ascii="Times New Roman" w:hAnsi="Times New Roman" w:cs="Times New Roman"/>
          <w:color w:val="000000" w:themeColor="text1"/>
        </w:rPr>
      </w:pPr>
      <w:r w:rsidRPr="003D7939">
        <w:rPr>
          <w:rFonts w:ascii="Times New Roman" w:hAnsi="Times New Roman" w:cs="Times New Roman"/>
          <w:color w:val="000000" w:themeColor="text1"/>
        </w:rPr>
        <w:t xml:space="preserve">Fontos végül megjegyezni, hogy </w:t>
      </w:r>
      <w:r w:rsidRPr="003D7939">
        <w:rPr>
          <w:rFonts w:ascii="Times New Roman" w:hAnsi="Times New Roman" w:cs="Times New Roman"/>
        </w:rPr>
        <w:t xml:space="preserve">különös méltánylást érdemlő körülmények fennállása esetén sincs mód a kártérítés mértékének a teljes kárnál alacsonyabb összegben történő </w:t>
      </w:r>
      <w:proofErr w:type="gramStart"/>
      <w:r w:rsidRPr="003D7939">
        <w:rPr>
          <w:rFonts w:ascii="Times New Roman" w:hAnsi="Times New Roman" w:cs="Times New Roman"/>
        </w:rPr>
        <w:t>meghatározására</w:t>
      </w:r>
      <w:r w:rsidRPr="003D7939">
        <w:rPr>
          <w:rStyle w:val="Lbjegyzet-hivatkozs"/>
          <w:rFonts w:ascii="Times New Roman" w:hAnsi="Times New Roman" w:cs="Times New Roman"/>
        </w:rPr>
        <w:footnoteReference w:id="21"/>
      </w:r>
      <w:r w:rsidRPr="003D7939">
        <w:rPr>
          <w:rFonts w:ascii="Times New Roman" w:hAnsi="Times New Roman" w:cs="Times New Roman"/>
        </w:rPr>
        <w:t>.</w:t>
      </w:r>
      <w:proofErr w:type="gramEnd"/>
      <w:r w:rsidR="003D0D2B">
        <w:rPr>
          <w:rFonts w:ascii="Times New Roman" w:hAnsi="Times New Roman" w:cs="Times New Roman"/>
        </w:rPr>
        <w:t xml:space="preserve"> </w:t>
      </w:r>
      <w:r w:rsidRPr="003D7939">
        <w:rPr>
          <w:rFonts w:ascii="Times New Roman" w:hAnsi="Times New Roman" w:cs="Times New Roman"/>
          <w:color w:val="000000" w:themeColor="text1"/>
        </w:rPr>
        <w:t xml:space="preserve">Ez </w:t>
      </w:r>
      <w:r w:rsidR="003D0D2B">
        <w:rPr>
          <w:rFonts w:ascii="Times New Roman" w:hAnsi="Times New Roman" w:cs="Times New Roman"/>
          <w:color w:val="000000" w:themeColor="text1"/>
        </w:rPr>
        <w:t xml:space="preserve">a </w:t>
      </w:r>
      <w:r w:rsidRPr="003D7939">
        <w:rPr>
          <w:rFonts w:ascii="Times New Roman" w:hAnsi="Times New Roman" w:cs="Times New Roman"/>
          <w:color w:val="000000" w:themeColor="text1"/>
        </w:rPr>
        <w:t xml:space="preserve">megszorítás </w:t>
      </w:r>
      <w:r w:rsidR="00B64FC7" w:rsidRPr="003D7939">
        <w:rPr>
          <w:rFonts w:ascii="Times New Roman" w:hAnsi="Times New Roman" w:cs="Times New Roman"/>
          <w:color w:val="000000" w:themeColor="text1"/>
        </w:rPr>
        <w:t>a felelősség</w:t>
      </w:r>
      <w:r w:rsidRPr="003D7939">
        <w:rPr>
          <w:rFonts w:ascii="Times New Roman" w:hAnsi="Times New Roman" w:cs="Times New Roman"/>
          <w:color w:val="000000" w:themeColor="text1"/>
        </w:rPr>
        <w:t xml:space="preserve"> objektív jellegét tovább erősíti</w:t>
      </w:r>
      <w:r w:rsidR="00B64FC7" w:rsidRPr="003D7939">
        <w:rPr>
          <w:rFonts w:ascii="Times New Roman" w:hAnsi="Times New Roman" w:cs="Times New Roman"/>
          <w:color w:val="000000" w:themeColor="text1"/>
        </w:rPr>
        <w:t xml:space="preserve">. </w:t>
      </w:r>
    </w:p>
    <w:p w:rsidR="00382356" w:rsidRPr="003D7939" w:rsidRDefault="00382356" w:rsidP="00382356">
      <w:pPr>
        <w:ind w:left="12" w:right="52"/>
        <w:jc w:val="both"/>
        <w:rPr>
          <w:rFonts w:ascii="Times New Roman" w:hAnsi="Times New Roman" w:cs="Times New Roman"/>
          <w:color w:val="000000" w:themeColor="text1"/>
        </w:rPr>
      </w:pPr>
    </w:p>
    <w:p w:rsidR="00066FA0" w:rsidRPr="007C3CEF" w:rsidRDefault="00A16E88" w:rsidP="00382356">
      <w:pPr>
        <w:pStyle w:val="Cmsor1"/>
        <w:spacing w:before="0"/>
        <w:rPr>
          <w:rFonts w:ascii="Times New Roman" w:hAnsi="Times New Roman" w:cs="Times New Roman"/>
          <w:bCs w:val="0"/>
          <w:color w:val="000000" w:themeColor="text1"/>
          <w:sz w:val="24"/>
          <w:szCs w:val="24"/>
        </w:rPr>
      </w:pPr>
      <w:r w:rsidRPr="007C3CEF">
        <w:rPr>
          <w:rFonts w:ascii="Times New Roman" w:hAnsi="Times New Roman" w:cs="Times New Roman"/>
          <w:bCs w:val="0"/>
          <w:color w:val="000000" w:themeColor="text1"/>
          <w:sz w:val="24"/>
          <w:szCs w:val="24"/>
        </w:rPr>
        <w:t>5</w:t>
      </w:r>
      <w:r w:rsidR="00B64FC7" w:rsidRPr="007C3CEF">
        <w:rPr>
          <w:rFonts w:ascii="Times New Roman" w:hAnsi="Times New Roman" w:cs="Times New Roman"/>
          <w:bCs w:val="0"/>
          <w:color w:val="000000" w:themeColor="text1"/>
          <w:sz w:val="24"/>
          <w:szCs w:val="24"/>
        </w:rPr>
        <w:t xml:space="preserve">. Az igényérvényesítés </w:t>
      </w:r>
      <w:r w:rsidR="00E23E53" w:rsidRPr="007C3CEF">
        <w:rPr>
          <w:rFonts w:ascii="Times New Roman" w:hAnsi="Times New Roman" w:cs="Times New Roman"/>
          <w:bCs w:val="0"/>
          <w:color w:val="000000" w:themeColor="text1"/>
          <w:sz w:val="24"/>
          <w:szCs w:val="24"/>
        </w:rPr>
        <w:t xml:space="preserve">speciális </w:t>
      </w:r>
      <w:r w:rsidR="00B64FC7" w:rsidRPr="007C3CEF">
        <w:rPr>
          <w:rFonts w:ascii="Times New Roman" w:hAnsi="Times New Roman" w:cs="Times New Roman"/>
          <w:bCs w:val="0"/>
          <w:color w:val="000000" w:themeColor="text1"/>
          <w:sz w:val="24"/>
          <w:szCs w:val="24"/>
        </w:rPr>
        <w:t xml:space="preserve">szabályai </w:t>
      </w:r>
    </w:p>
    <w:p w:rsidR="00066FA0" w:rsidRPr="003D7939" w:rsidRDefault="00066FA0" w:rsidP="00382356">
      <w:pPr>
        <w:ind w:left="12" w:right="52"/>
        <w:jc w:val="both"/>
        <w:rPr>
          <w:rFonts w:ascii="Times New Roman" w:hAnsi="Times New Roman" w:cs="Times New Roman"/>
          <w:color w:val="000000" w:themeColor="text1"/>
        </w:rPr>
      </w:pPr>
    </w:p>
    <w:p w:rsidR="00066FA0" w:rsidRPr="003D7939" w:rsidRDefault="00B64FC7" w:rsidP="00382356">
      <w:pPr>
        <w:suppressAutoHyphens/>
        <w:jc w:val="both"/>
        <w:rPr>
          <w:rFonts w:ascii="Times New Roman" w:hAnsi="Times New Roman" w:cs="Times New Roman"/>
          <w:i/>
          <w:kern w:val="1"/>
        </w:rPr>
      </w:pPr>
      <w:r w:rsidRPr="003D7939">
        <w:rPr>
          <w:rFonts w:ascii="Times New Roman" w:hAnsi="Times New Roman" w:cs="Times New Roman"/>
          <w:color w:val="000000" w:themeColor="text1"/>
        </w:rPr>
        <w:t xml:space="preserve">A Ptk. a termékfelelősségi igények érvényesítésére </w:t>
      </w:r>
      <w:r w:rsidR="003706B3" w:rsidRPr="003D7939">
        <w:rPr>
          <w:rFonts w:ascii="Times New Roman" w:hAnsi="Times New Roman" w:cs="Times New Roman"/>
          <w:color w:val="000000" w:themeColor="text1"/>
        </w:rPr>
        <w:t xml:space="preserve">egy </w:t>
      </w:r>
      <w:r w:rsidRPr="003D7939">
        <w:rPr>
          <w:rFonts w:ascii="Times New Roman" w:hAnsi="Times New Roman" w:cs="Times New Roman"/>
          <w:color w:val="000000" w:themeColor="text1"/>
        </w:rPr>
        <w:t xml:space="preserve">szubjektív </w:t>
      </w:r>
      <w:r w:rsidR="003706B3" w:rsidRPr="003D7939">
        <w:rPr>
          <w:rFonts w:ascii="Times New Roman" w:hAnsi="Times New Roman" w:cs="Times New Roman"/>
          <w:color w:val="000000" w:themeColor="text1"/>
        </w:rPr>
        <w:t xml:space="preserve">és egy objektív határidőt is megállapít. A </w:t>
      </w:r>
      <w:r w:rsidR="003706B3" w:rsidRPr="003D7939">
        <w:rPr>
          <w:rFonts w:ascii="Times New Roman" w:hAnsi="Times New Roman" w:cs="Times New Roman"/>
          <w:b/>
          <w:color w:val="000000" w:themeColor="text1"/>
        </w:rPr>
        <w:t>Ptk.</w:t>
      </w:r>
      <w:r w:rsidR="006A7B56">
        <w:rPr>
          <w:rFonts w:ascii="Times New Roman" w:hAnsi="Times New Roman" w:cs="Times New Roman"/>
          <w:b/>
          <w:color w:val="000000" w:themeColor="text1"/>
        </w:rPr>
        <w:t xml:space="preserve"> </w:t>
      </w:r>
      <w:r w:rsidR="003706B3" w:rsidRPr="003D7939">
        <w:rPr>
          <w:rFonts w:ascii="Times New Roman" w:hAnsi="Times New Roman" w:cs="Times New Roman"/>
          <w:b/>
          <w:color w:val="000000" w:themeColor="text1"/>
        </w:rPr>
        <w:t xml:space="preserve">6:558. § (1)-(2) bekezdései alapján </w:t>
      </w:r>
      <w:r w:rsidR="0028617B" w:rsidRPr="003D7939">
        <w:rPr>
          <w:rFonts w:ascii="Times New Roman" w:hAnsi="Times New Roman" w:cs="Times New Roman"/>
          <w:color w:val="000000" w:themeColor="text1"/>
        </w:rPr>
        <w:t xml:space="preserve">- az </w:t>
      </w:r>
      <w:r w:rsidR="0028617B" w:rsidRPr="003D7939">
        <w:rPr>
          <w:rFonts w:ascii="Times New Roman" w:hAnsi="Times New Roman" w:cs="Times New Roman"/>
          <w:b/>
          <w:color w:val="000000" w:themeColor="text1"/>
        </w:rPr>
        <w:t>irányelv 10. cikk (1) bekezdésében foglaltaknak megfelelően</w:t>
      </w:r>
      <w:r w:rsidR="0028617B" w:rsidRPr="003D7939">
        <w:rPr>
          <w:rFonts w:ascii="Times New Roman" w:hAnsi="Times New Roman" w:cs="Times New Roman"/>
          <w:color w:val="000000" w:themeColor="text1"/>
        </w:rPr>
        <w:t xml:space="preserve"> - </w:t>
      </w:r>
      <w:r w:rsidR="003706B3" w:rsidRPr="003D7939">
        <w:rPr>
          <w:rFonts w:ascii="Times New Roman" w:hAnsi="Times New Roman" w:cs="Times New Roman"/>
          <w:color w:val="000000" w:themeColor="text1"/>
        </w:rPr>
        <w:t>az</w:t>
      </w:r>
      <w:r w:rsidRPr="003D7939">
        <w:rPr>
          <w:rFonts w:ascii="Times New Roman" w:hAnsi="Times New Roman" w:cs="Times New Roman"/>
          <w:color w:val="000000" w:themeColor="text1"/>
        </w:rPr>
        <w:t xml:space="preserve"> elévülési jellegű </w:t>
      </w:r>
      <w:r w:rsidR="003706B3" w:rsidRPr="003D7939">
        <w:rPr>
          <w:rFonts w:ascii="Times New Roman" w:hAnsi="Times New Roman" w:cs="Times New Roman"/>
          <w:color w:val="000000" w:themeColor="text1"/>
        </w:rPr>
        <w:t xml:space="preserve">határidő </w:t>
      </w:r>
      <w:r w:rsidR="003706B3" w:rsidRPr="003D7939">
        <w:rPr>
          <w:rFonts w:ascii="Times New Roman" w:hAnsi="Times New Roman" w:cs="Times New Roman"/>
          <w:b/>
          <w:color w:val="000000" w:themeColor="text1"/>
        </w:rPr>
        <w:t>három év</w:t>
      </w:r>
      <w:r w:rsidR="003706B3" w:rsidRPr="003D7939">
        <w:rPr>
          <w:rFonts w:ascii="Times New Roman" w:hAnsi="Times New Roman" w:cs="Times New Roman"/>
          <w:color w:val="000000" w:themeColor="text1"/>
        </w:rPr>
        <w:t xml:space="preserve">, amely </w:t>
      </w:r>
      <w:r w:rsidR="003706B3" w:rsidRPr="003D7939">
        <w:rPr>
          <w:rFonts w:ascii="Times New Roman" w:hAnsi="Times New Roman" w:cs="Times New Roman"/>
        </w:rPr>
        <w:t>akkor kezdődik, amikor a károsult tudomást szerzett vagy tudomást szerezhetett volna a kárról, a termék hibájáról és a gyártó személyéről.</w:t>
      </w:r>
      <w:r w:rsidR="003706B3" w:rsidRPr="003D7939">
        <w:rPr>
          <w:rFonts w:ascii="Times New Roman" w:hAnsi="Times New Roman" w:cs="Times New Roman"/>
          <w:color w:val="000000" w:themeColor="text1"/>
        </w:rPr>
        <w:t xml:space="preserve"> </w:t>
      </w:r>
      <w:r w:rsidR="0028617B" w:rsidRPr="003D7939">
        <w:rPr>
          <w:rFonts w:ascii="Times New Roman" w:hAnsi="Times New Roman" w:cs="Times New Roman"/>
          <w:color w:val="000000" w:themeColor="text1"/>
        </w:rPr>
        <w:t xml:space="preserve"> Fontos, hogy az </w:t>
      </w:r>
      <w:r w:rsidR="0028617B" w:rsidRPr="003D7939">
        <w:rPr>
          <w:rFonts w:ascii="Times New Roman" w:hAnsi="Times New Roman" w:cs="Times New Roman"/>
          <w:b/>
          <w:color w:val="000000" w:themeColor="text1"/>
        </w:rPr>
        <w:t>irányelv 10. cikk (2) bekezdésében foglaltak szerint</w:t>
      </w:r>
      <w:r w:rsidR="0028617B" w:rsidRPr="003D7939">
        <w:rPr>
          <w:rFonts w:ascii="Times New Roman" w:hAnsi="Times New Roman" w:cs="Times New Roman"/>
          <w:color w:val="000000" w:themeColor="text1"/>
        </w:rPr>
        <w:t xml:space="preserve"> </w:t>
      </w:r>
      <w:r w:rsidR="0028617B" w:rsidRPr="003D7939">
        <w:rPr>
          <w:rFonts w:ascii="Times New Roman" w:hAnsi="Times New Roman" w:cs="Times New Roman"/>
        </w:rPr>
        <w:t xml:space="preserve">az irányelv </w:t>
      </w:r>
      <w:r w:rsidR="0028617B" w:rsidRPr="003D7939">
        <w:rPr>
          <w:rFonts w:ascii="Times New Roman" w:hAnsi="Times New Roman" w:cs="Times New Roman"/>
          <w:b/>
        </w:rPr>
        <w:t>nem érinti a tagállamoknak az elévülés felfüggesztésére vagy megszakítására vonatkozó rendelkezéseit</w:t>
      </w:r>
      <w:r w:rsidR="0028617B" w:rsidRPr="003D7939">
        <w:rPr>
          <w:rFonts w:ascii="Times New Roman" w:hAnsi="Times New Roman" w:cs="Times New Roman"/>
        </w:rPr>
        <w:t>.</w:t>
      </w:r>
      <w:r w:rsidR="00897157" w:rsidRPr="003D7939">
        <w:rPr>
          <w:rFonts w:ascii="Times New Roman" w:hAnsi="Times New Roman" w:cs="Times New Roman"/>
        </w:rPr>
        <w:t xml:space="preserve"> Érdemes megjegyezni továbbá, hogy több kár esetén az </w:t>
      </w:r>
      <w:r w:rsidR="00897157" w:rsidRPr="003D7939">
        <w:rPr>
          <w:rFonts w:ascii="Times New Roman" w:hAnsi="Times New Roman" w:cs="Times New Roman"/>
          <w:kern w:val="1"/>
        </w:rPr>
        <w:t>egyes károk vonatkozásában az elévülés időt kétségtelenül önállóan kell vizsgálni (</w:t>
      </w:r>
      <w:r w:rsidR="00897157" w:rsidRPr="003D7939">
        <w:rPr>
          <w:rFonts w:ascii="Times New Roman" w:hAnsi="Times New Roman" w:cs="Times New Roman"/>
          <w:i/>
          <w:kern w:val="1"/>
        </w:rPr>
        <w:t>Fővárosi Ítélőtábla 3</w:t>
      </w:r>
      <w:proofErr w:type="gramStart"/>
      <w:r w:rsidR="00897157" w:rsidRPr="003D7939">
        <w:rPr>
          <w:rFonts w:ascii="Times New Roman" w:hAnsi="Times New Roman" w:cs="Times New Roman"/>
          <w:i/>
          <w:kern w:val="1"/>
        </w:rPr>
        <w:t>.Pf.</w:t>
      </w:r>
      <w:proofErr w:type="gramEnd"/>
      <w:r w:rsidR="00897157" w:rsidRPr="003D7939">
        <w:rPr>
          <w:rFonts w:ascii="Times New Roman" w:hAnsi="Times New Roman" w:cs="Times New Roman"/>
          <w:i/>
          <w:kern w:val="1"/>
        </w:rPr>
        <w:t>21.251/2013/2.).</w:t>
      </w:r>
    </w:p>
    <w:p w:rsidR="00833409" w:rsidRPr="003D7939" w:rsidRDefault="00833409" w:rsidP="00382356">
      <w:pPr>
        <w:suppressAutoHyphens/>
        <w:jc w:val="both"/>
        <w:rPr>
          <w:rFonts w:ascii="Times New Roman" w:hAnsi="Times New Roman" w:cs="Times New Roman"/>
          <w:kern w:val="1"/>
        </w:rPr>
      </w:pPr>
    </w:p>
    <w:p w:rsidR="00E74969" w:rsidRPr="003D7939" w:rsidRDefault="005C246C" w:rsidP="00382356">
      <w:pPr>
        <w:pStyle w:val="c02alineaalta"/>
        <w:spacing w:before="0" w:beforeAutospacing="0" w:after="0" w:afterAutospacing="0"/>
        <w:jc w:val="both"/>
      </w:pPr>
      <w:r w:rsidRPr="003D7939">
        <w:rPr>
          <w:snapToGrid w:val="0"/>
          <w:color w:val="000000" w:themeColor="text1"/>
        </w:rPr>
        <w:t xml:space="preserve">Az </w:t>
      </w:r>
      <w:r w:rsidRPr="003D7939">
        <w:rPr>
          <w:b/>
          <w:snapToGrid w:val="0"/>
          <w:color w:val="000000" w:themeColor="text1"/>
        </w:rPr>
        <w:t>irányelv</w:t>
      </w:r>
      <w:r w:rsidRPr="003D7939">
        <w:rPr>
          <w:snapToGrid w:val="0"/>
          <w:color w:val="000000" w:themeColor="text1"/>
        </w:rPr>
        <w:t xml:space="preserve"> </w:t>
      </w:r>
      <w:r w:rsidRPr="003D7939">
        <w:rPr>
          <w:b/>
          <w:snapToGrid w:val="0"/>
          <w:color w:val="000000" w:themeColor="text1"/>
        </w:rPr>
        <w:t>11. cikkében foglaltaknak megfelelően a</w:t>
      </w:r>
      <w:r w:rsidR="003706B3" w:rsidRPr="003D7939">
        <w:rPr>
          <w:b/>
          <w:snapToGrid w:val="0"/>
          <w:color w:val="000000" w:themeColor="text1"/>
        </w:rPr>
        <w:t xml:space="preserve"> Ptk. 6:558. § (3) bekezdése szerint</w:t>
      </w:r>
      <w:r w:rsidR="00AA0D9D" w:rsidRPr="003D7939">
        <w:rPr>
          <w:b/>
          <w:snapToGrid w:val="0"/>
          <w:color w:val="000000" w:themeColor="text1"/>
        </w:rPr>
        <w:t>i</w:t>
      </w:r>
      <w:r w:rsidR="003706B3" w:rsidRPr="003D7939">
        <w:rPr>
          <w:b/>
          <w:snapToGrid w:val="0"/>
          <w:color w:val="000000" w:themeColor="text1"/>
        </w:rPr>
        <w:t xml:space="preserve"> </w:t>
      </w:r>
      <w:r w:rsidR="00B64FC7" w:rsidRPr="003D7939">
        <w:rPr>
          <w:b/>
          <w:snapToGrid w:val="0"/>
          <w:color w:val="000000" w:themeColor="text1"/>
        </w:rPr>
        <w:t>objektív határidő</w:t>
      </w:r>
      <w:r w:rsidR="00B64FC7" w:rsidRPr="003D7939">
        <w:rPr>
          <w:snapToGrid w:val="0"/>
          <w:color w:val="000000" w:themeColor="text1"/>
        </w:rPr>
        <w:t xml:space="preserve"> alapján </w:t>
      </w:r>
      <w:r w:rsidR="003706B3" w:rsidRPr="003D7939">
        <w:rPr>
          <w:snapToGrid w:val="0"/>
          <w:color w:val="000000" w:themeColor="text1"/>
        </w:rPr>
        <w:t>a</w:t>
      </w:r>
      <w:r w:rsidR="003706B3" w:rsidRPr="003D7939">
        <w:t xml:space="preserve"> gyártót a felelőssége az adott termék általa történő forgalomba hozatalától számított </w:t>
      </w:r>
      <w:r w:rsidR="003706B3" w:rsidRPr="003D7939">
        <w:rPr>
          <w:b/>
        </w:rPr>
        <w:t>tíz évig</w:t>
      </w:r>
      <w:r w:rsidR="003706B3" w:rsidRPr="003D7939">
        <w:t xml:space="preserve"> terheli. E határidő elmulasztása jogvesztéssel jár.</w:t>
      </w:r>
      <w:r w:rsidR="00AA0D9D" w:rsidRPr="003D7939">
        <w:t xml:space="preserve"> </w:t>
      </w:r>
    </w:p>
    <w:p w:rsidR="00FD01CD" w:rsidRPr="003D7939" w:rsidRDefault="00FD01CD" w:rsidP="00382356">
      <w:pPr>
        <w:pStyle w:val="c02alineaalta"/>
        <w:spacing w:before="0" w:beforeAutospacing="0" w:after="0" w:afterAutospacing="0"/>
        <w:jc w:val="both"/>
      </w:pPr>
    </w:p>
    <w:p w:rsidR="00C25C24" w:rsidRPr="003D7939" w:rsidRDefault="00AA0D9D" w:rsidP="00382356">
      <w:pPr>
        <w:pStyle w:val="c02alineaalta"/>
        <w:spacing w:before="0" w:beforeAutospacing="0" w:after="0" w:afterAutospacing="0"/>
        <w:jc w:val="both"/>
        <w:rPr>
          <w:bCs/>
        </w:rPr>
      </w:pPr>
      <w:proofErr w:type="gramStart"/>
      <w:r w:rsidRPr="003D7939">
        <w:t xml:space="preserve">Megjegyzendő, hogy a határidő objektív jellege azt is jelenti, ahogy az Európai Bíróság a </w:t>
      </w:r>
      <w:r w:rsidRPr="003D7939">
        <w:rPr>
          <w:b/>
        </w:rPr>
        <w:t>C</w:t>
      </w:r>
      <w:r w:rsidRPr="003D7939">
        <w:rPr>
          <w:b/>
        </w:rPr>
        <w:noBreakHyphen/>
        <w:t>358/08. számú </w:t>
      </w:r>
      <w:proofErr w:type="spellStart"/>
      <w:r w:rsidRPr="003D7939">
        <w:rPr>
          <w:b/>
          <w:bCs/>
        </w:rPr>
        <w:t>Aventis</w:t>
      </w:r>
      <w:proofErr w:type="spellEnd"/>
      <w:r w:rsidRPr="003D7939">
        <w:rPr>
          <w:b/>
          <w:bCs/>
        </w:rPr>
        <w:t xml:space="preserve"> Pasteur SA kontra OB </w:t>
      </w:r>
      <w:r w:rsidR="00C25C24" w:rsidRPr="003D7939">
        <w:rPr>
          <w:b/>
          <w:bCs/>
        </w:rPr>
        <w:t xml:space="preserve"> </w:t>
      </w:r>
      <w:r w:rsidRPr="003D7939">
        <w:rPr>
          <w:b/>
          <w:bCs/>
        </w:rPr>
        <w:t>ügyben</w:t>
      </w:r>
      <w:r w:rsidRPr="003D7939">
        <w:rPr>
          <w:bCs/>
        </w:rPr>
        <w:t xml:space="preserve"> is rámutatott, az </w:t>
      </w:r>
      <w:r w:rsidR="00C25C24" w:rsidRPr="003D7939">
        <w:rPr>
          <w:bCs/>
        </w:rPr>
        <w:t xml:space="preserve">irányelv 11. cikkét úgy kell értelmezni, hogy az a nemzeti szabályozás, amely megengedi, hogy a bírósági eljárás során az alperest a perből elbocsássák, és helyette mást idézzenek meg, nem alkalmazható olyan módon, hogy az irányelv 3. cikke értelmében vett „gyártót” a más személlyel szemben az </w:t>
      </w:r>
      <w:r w:rsidRPr="003D7939">
        <w:rPr>
          <w:bCs/>
        </w:rPr>
        <w:t>irányelv</w:t>
      </w:r>
      <w:r w:rsidR="00C25C24" w:rsidRPr="003D7939">
        <w:rPr>
          <w:bCs/>
        </w:rPr>
        <w:t xml:space="preserve"> 11. cikk</w:t>
      </w:r>
      <w:r w:rsidRPr="003D7939">
        <w:rPr>
          <w:bCs/>
        </w:rPr>
        <w:t>é</w:t>
      </w:r>
      <w:r w:rsidR="00C25C24" w:rsidRPr="003D7939">
        <w:rPr>
          <w:bCs/>
        </w:rPr>
        <w:t xml:space="preserve">ben meghatározott </w:t>
      </w:r>
      <w:r w:rsidRPr="003D7939">
        <w:rPr>
          <w:bCs/>
        </w:rPr>
        <w:t>határ</w:t>
      </w:r>
      <w:r w:rsidR="00C25C24" w:rsidRPr="003D7939">
        <w:rPr>
          <w:bCs/>
        </w:rPr>
        <w:t>időn belül indított eljárás alpereseként e határidő lejárta után perbe lehessen vonni.</w:t>
      </w:r>
      <w:proofErr w:type="gramEnd"/>
      <w:r w:rsidRPr="003D7939">
        <w:rPr>
          <w:bCs/>
        </w:rPr>
        <w:t xml:space="preserve"> A</w:t>
      </w:r>
      <w:r w:rsidR="00C25C24" w:rsidRPr="003D7939">
        <w:rPr>
          <w:bCs/>
        </w:rPr>
        <w:t xml:space="preserve">zonban egyrészt az említett 11. cikket úgy kell értelmezni, mint amely nem zárja ki azt, hogy a nemzeti bíróság úgy határozzon, hogy </w:t>
      </w:r>
      <w:r w:rsidRPr="003D7939">
        <w:rPr>
          <w:bCs/>
        </w:rPr>
        <w:t xml:space="preserve">az </w:t>
      </w:r>
      <w:r w:rsidR="00C25C24" w:rsidRPr="003D7939">
        <w:rPr>
          <w:bCs/>
        </w:rPr>
        <w:t>irányelv 3. cikkének (1) bekezdése szerinti „gyártó” 100%</w:t>
      </w:r>
      <w:r w:rsidR="00C25C24" w:rsidRPr="003D7939">
        <w:rPr>
          <w:bCs/>
        </w:rPr>
        <w:noBreakHyphen/>
        <w:t xml:space="preserve">os leányvállalatával szemben a 11. cikkben meghatározott </w:t>
      </w:r>
      <w:r w:rsidR="00C25C24" w:rsidRPr="003D7939">
        <w:rPr>
          <w:bCs/>
        </w:rPr>
        <w:lastRenderedPageBreak/>
        <w:t>határidőn belül indított bírósági eljárásban a leányvállalatot a perből elbocsátja, és helyette az említett gyártót idézi meg, ha a nemzeti bíróság azt állapítja meg, hogy az érintett termék forgalomba hozataláról valójában ez a gyártó döntött.</w:t>
      </w:r>
      <w:r w:rsidRPr="003D7939">
        <w:rPr>
          <w:bCs/>
        </w:rPr>
        <w:t xml:space="preserve"> M</w:t>
      </w:r>
      <w:r w:rsidR="00C25C24" w:rsidRPr="003D7939">
        <w:rPr>
          <w:bCs/>
        </w:rPr>
        <w:t xml:space="preserve">ásrészt </w:t>
      </w:r>
      <w:r w:rsidRPr="003D7939">
        <w:rPr>
          <w:bCs/>
        </w:rPr>
        <w:t xml:space="preserve">pedig </w:t>
      </w:r>
      <w:r w:rsidR="00C25C24" w:rsidRPr="003D7939">
        <w:rPr>
          <w:bCs/>
        </w:rPr>
        <w:t>a</w:t>
      </w:r>
      <w:r w:rsidRPr="003D7939">
        <w:rPr>
          <w:bCs/>
        </w:rPr>
        <w:t>z</w:t>
      </w:r>
      <w:r w:rsidR="00C25C24" w:rsidRPr="003D7939">
        <w:rPr>
          <w:bCs/>
        </w:rPr>
        <w:t xml:space="preserve"> irányelv 3. cikkének (3) bekezdését úgy kell értelmezni, hogy ha a hibásnak vélt termék károsultja ésszerűen nem tudta megállapítani a termék gyártójának személyét azelőtt, hogy a termék szállítójával szemben érvényesítette igényét, akkor az említett szállítót különösen az irányelv 11. cikke alkalmazásában „gyártónak” kell tekinteni, amennyiben nem tájékoztatta önként és gondosan a károsultat a gyártó vagy a saját beszállítója személyéről, amit a nemzeti bíróságnak a konkrét ügy körülményeire tekintettel kell megvizsgálnia.</w:t>
      </w:r>
    </w:p>
    <w:p w:rsidR="00FD01CD" w:rsidRPr="003D7939" w:rsidRDefault="00FD01CD" w:rsidP="00382356">
      <w:pPr>
        <w:pStyle w:val="c02alineaalta"/>
        <w:spacing w:before="0" w:beforeAutospacing="0" w:after="0" w:afterAutospacing="0"/>
        <w:jc w:val="both"/>
        <w:rPr>
          <w:bCs/>
        </w:rPr>
      </w:pPr>
    </w:p>
    <w:p w:rsidR="00E74969" w:rsidRPr="003D7939" w:rsidRDefault="00E74969" w:rsidP="00382356">
      <w:pPr>
        <w:pStyle w:val="c02alineaalta"/>
        <w:spacing w:before="0" w:beforeAutospacing="0" w:after="0" w:afterAutospacing="0"/>
        <w:jc w:val="both"/>
        <w:rPr>
          <w:bCs/>
        </w:rPr>
      </w:pPr>
      <w:r w:rsidRPr="003D7939">
        <w:rPr>
          <w:bCs/>
        </w:rPr>
        <w:t xml:space="preserve">A forgalomba-hozatal időpontjának kérdéskörét illetően az Európai Bíróság – az előzőekben már említett - </w:t>
      </w:r>
      <w:r w:rsidRPr="003D7939">
        <w:rPr>
          <w:b/>
        </w:rPr>
        <w:t>C</w:t>
      </w:r>
      <w:r w:rsidRPr="003D7939">
        <w:rPr>
          <w:b/>
        </w:rPr>
        <w:noBreakHyphen/>
        <w:t xml:space="preserve">127/04.  számú </w:t>
      </w:r>
      <w:proofErr w:type="spellStart"/>
      <w:r w:rsidRPr="003D7939">
        <w:rPr>
          <w:b/>
          <w:bCs/>
        </w:rPr>
        <w:t>Declan</w:t>
      </w:r>
      <w:proofErr w:type="spellEnd"/>
      <w:r w:rsidRPr="003D7939">
        <w:rPr>
          <w:b/>
          <w:bCs/>
        </w:rPr>
        <w:t xml:space="preserve"> </w:t>
      </w:r>
      <w:proofErr w:type="spellStart"/>
      <w:r w:rsidRPr="003D7939">
        <w:rPr>
          <w:b/>
          <w:bCs/>
        </w:rPr>
        <w:t>O’Byrne</w:t>
      </w:r>
      <w:proofErr w:type="spellEnd"/>
      <w:r w:rsidRPr="003D7939">
        <w:rPr>
          <w:b/>
          <w:bCs/>
        </w:rPr>
        <w:t xml:space="preserve"> kontra </w:t>
      </w:r>
      <w:proofErr w:type="spellStart"/>
      <w:r w:rsidRPr="003D7939">
        <w:rPr>
          <w:b/>
          <w:bCs/>
        </w:rPr>
        <w:t>Sanofi</w:t>
      </w:r>
      <w:proofErr w:type="spellEnd"/>
      <w:r w:rsidRPr="003D7939">
        <w:rPr>
          <w:b/>
          <w:bCs/>
        </w:rPr>
        <w:t xml:space="preserve"> Pasteur MSD </w:t>
      </w:r>
      <w:proofErr w:type="spellStart"/>
      <w:r w:rsidRPr="003D7939">
        <w:rPr>
          <w:b/>
          <w:bCs/>
        </w:rPr>
        <w:t>Ltd</w:t>
      </w:r>
      <w:proofErr w:type="spellEnd"/>
      <w:r w:rsidRPr="003D7939">
        <w:rPr>
          <w:b/>
        </w:rPr>
        <w:t xml:space="preserve"> (korábban </w:t>
      </w:r>
      <w:proofErr w:type="spellStart"/>
      <w:r w:rsidRPr="003D7939">
        <w:rPr>
          <w:b/>
        </w:rPr>
        <w:t>Aventis</w:t>
      </w:r>
      <w:proofErr w:type="spellEnd"/>
      <w:r w:rsidRPr="003D7939">
        <w:rPr>
          <w:b/>
        </w:rPr>
        <w:t xml:space="preserve"> Pasteur MSD </w:t>
      </w:r>
      <w:proofErr w:type="spellStart"/>
      <w:r w:rsidRPr="003D7939">
        <w:rPr>
          <w:b/>
        </w:rPr>
        <w:t>Ltd</w:t>
      </w:r>
      <w:proofErr w:type="spellEnd"/>
      <w:r w:rsidRPr="003D7939">
        <w:rPr>
          <w:b/>
        </w:rPr>
        <w:t xml:space="preserve">), </w:t>
      </w:r>
      <w:proofErr w:type="spellStart"/>
      <w:r w:rsidRPr="003D7939">
        <w:rPr>
          <w:b/>
          <w:bCs/>
        </w:rPr>
        <w:t>Sanofi</w:t>
      </w:r>
      <w:proofErr w:type="spellEnd"/>
      <w:r w:rsidRPr="003D7939">
        <w:rPr>
          <w:b/>
          <w:bCs/>
        </w:rPr>
        <w:t xml:space="preserve"> Pasteur SA</w:t>
      </w:r>
      <w:r w:rsidRPr="003D7939">
        <w:rPr>
          <w:b/>
        </w:rPr>
        <w:t xml:space="preserve"> (korábban </w:t>
      </w:r>
      <w:proofErr w:type="spellStart"/>
      <w:r w:rsidRPr="003D7939">
        <w:rPr>
          <w:b/>
        </w:rPr>
        <w:t>Aventis</w:t>
      </w:r>
      <w:proofErr w:type="spellEnd"/>
      <w:r w:rsidRPr="003D7939">
        <w:rPr>
          <w:b/>
        </w:rPr>
        <w:t xml:space="preserve"> Pasteur SA) ügyben</w:t>
      </w:r>
      <w:r w:rsidRPr="003D7939">
        <w:t xml:space="preserve"> f</w:t>
      </w:r>
      <w:r w:rsidRPr="003D7939">
        <w:rPr>
          <w:bCs/>
        </w:rPr>
        <w:t>ejtette ki, hogy az irányelv 11. cikkét úgy kell értelmezni, miszerint egy terméket akkor hoznak forgalomba, amikor kikerül a gyártó által végzett gyártási folyamatból, és forgalmazási folyamatba kerül, amelynek során a vásárlóközönség számára felhasználás vagy fogyasztás céljára kínálják.</w:t>
      </w:r>
    </w:p>
    <w:p w:rsidR="002057E4" w:rsidRDefault="002057E4" w:rsidP="00382356">
      <w:pPr>
        <w:jc w:val="both"/>
        <w:rPr>
          <w:rFonts w:ascii="Times New Roman" w:hAnsi="Times New Roman" w:cs="Times New Roman"/>
          <w:snapToGrid w:val="0"/>
          <w:color w:val="000000" w:themeColor="text1"/>
        </w:rPr>
      </w:pPr>
    </w:p>
    <w:p w:rsidR="00133427" w:rsidRPr="00133427" w:rsidRDefault="003706B3" w:rsidP="00382356">
      <w:pPr>
        <w:jc w:val="both"/>
        <w:rPr>
          <w:rFonts w:ascii="Times New Roman" w:hAnsi="Times New Roman" w:cs="Times New Roman"/>
          <w:color w:val="000000" w:themeColor="text1"/>
        </w:rPr>
      </w:pPr>
      <w:proofErr w:type="gramStart"/>
      <w:r w:rsidRPr="003D7939">
        <w:rPr>
          <w:rFonts w:ascii="Times New Roman" w:hAnsi="Times New Roman" w:cs="Times New Roman"/>
          <w:snapToGrid w:val="0"/>
          <w:color w:val="000000" w:themeColor="text1"/>
        </w:rPr>
        <w:t>Megjegyzendő végül e helye</w:t>
      </w:r>
      <w:r w:rsidR="00DF3FCD" w:rsidRPr="003D7939">
        <w:rPr>
          <w:rFonts w:ascii="Times New Roman" w:hAnsi="Times New Roman" w:cs="Times New Roman"/>
          <w:snapToGrid w:val="0"/>
          <w:color w:val="000000" w:themeColor="text1"/>
        </w:rPr>
        <w:t>n</w:t>
      </w:r>
      <w:r w:rsidRPr="003D7939">
        <w:rPr>
          <w:rFonts w:ascii="Times New Roman" w:hAnsi="Times New Roman" w:cs="Times New Roman"/>
          <w:snapToGrid w:val="0"/>
          <w:color w:val="000000" w:themeColor="text1"/>
        </w:rPr>
        <w:t xml:space="preserve">, hogy </w:t>
      </w:r>
      <w:r w:rsidR="00DF3FCD" w:rsidRPr="003D7939">
        <w:rPr>
          <w:rFonts w:ascii="Times New Roman" w:hAnsi="Times New Roman" w:cs="Times New Roman"/>
          <w:snapToGrid w:val="0"/>
          <w:color w:val="000000" w:themeColor="text1"/>
        </w:rPr>
        <w:t xml:space="preserve">- miként az </w:t>
      </w:r>
      <w:r w:rsidR="00DF3FCD" w:rsidRPr="003D7939">
        <w:rPr>
          <w:rFonts w:ascii="Times New Roman" w:hAnsi="Times New Roman" w:cs="Times New Roman"/>
          <w:b/>
          <w:snapToGrid w:val="0"/>
          <w:color w:val="000000" w:themeColor="text1"/>
        </w:rPr>
        <w:t>irányelv 13. cikke</w:t>
      </w:r>
      <w:r w:rsidR="00DF3FCD" w:rsidRPr="003D7939">
        <w:rPr>
          <w:rFonts w:ascii="Times New Roman" w:hAnsi="Times New Roman" w:cs="Times New Roman"/>
          <w:snapToGrid w:val="0"/>
          <w:color w:val="000000" w:themeColor="text1"/>
        </w:rPr>
        <w:t xml:space="preserve"> is rögzíti</w:t>
      </w:r>
      <w:r w:rsidR="00242DB9" w:rsidRPr="003D7939">
        <w:rPr>
          <w:rStyle w:val="Lbjegyzet-hivatkozs"/>
          <w:rFonts w:ascii="Times New Roman" w:hAnsi="Times New Roman" w:cs="Times New Roman"/>
          <w:snapToGrid w:val="0"/>
          <w:color w:val="000000" w:themeColor="text1"/>
        </w:rPr>
        <w:footnoteReference w:id="22"/>
      </w:r>
      <w:r w:rsidR="00DF3FCD" w:rsidRPr="003D7939">
        <w:rPr>
          <w:rFonts w:ascii="Times New Roman" w:hAnsi="Times New Roman" w:cs="Times New Roman"/>
          <w:snapToGrid w:val="0"/>
          <w:color w:val="000000" w:themeColor="text1"/>
        </w:rPr>
        <w:t xml:space="preserve"> - </w:t>
      </w:r>
      <w:r w:rsidRPr="003D7939">
        <w:rPr>
          <w:rFonts w:ascii="Times New Roman" w:hAnsi="Times New Roman" w:cs="Times New Roman"/>
          <w:snapToGrid w:val="0"/>
          <w:color w:val="000000" w:themeColor="text1"/>
        </w:rPr>
        <w:t xml:space="preserve">a </w:t>
      </w:r>
      <w:r w:rsidR="00DF7B2C" w:rsidRPr="003D7939">
        <w:rPr>
          <w:rFonts w:ascii="Times New Roman" w:hAnsi="Times New Roman" w:cs="Times New Roman"/>
          <w:snapToGrid w:val="0"/>
          <w:color w:val="000000" w:themeColor="text1"/>
        </w:rPr>
        <w:t xml:space="preserve">Ptk. alkalmazása során a </w:t>
      </w:r>
      <w:r w:rsidRPr="003D7939">
        <w:rPr>
          <w:rFonts w:ascii="Times New Roman" w:hAnsi="Times New Roman" w:cs="Times New Roman"/>
          <w:b/>
          <w:snapToGrid w:val="0"/>
          <w:color w:val="000000" w:themeColor="text1"/>
        </w:rPr>
        <w:t>termékfelelősség nem érinti a s</w:t>
      </w:r>
      <w:r w:rsidR="00B64FC7" w:rsidRPr="003D7939">
        <w:rPr>
          <w:rFonts w:ascii="Times New Roman" w:hAnsi="Times New Roman" w:cs="Times New Roman"/>
          <w:b/>
          <w:snapToGrid w:val="0"/>
          <w:color w:val="000000" w:themeColor="text1"/>
        </w:rPr>
        <w:t>zerződésszegéssel</w:t>
      </w:r>
      <w:r w:rsidR="00DF3FCD" w:rsidRPr="003D7939">
        <w:rPr>
          <w:rFonts w:ascii="Times New Roman" w:hAnsi="Times New Roman" w:cs="Times New Roman"/>
          <w:b/>
          <w:snapToGrid w:val="0"/>
          <w:color w:val="000000" w:themeColor="text1"/>
        </w:rPr>
        <w:t xml:space="preserve"> vagy szerződésen kívül okozott egyéb</w:t>
      </w:r>
      <w:r w:rsidR="00B64FC7" w:rsidRPr="003D7939">
        <w:rPr>
          <w:rFonts w:ascii="Times New Roman" w:hAnsi="Times New Roman" w:cs="Times New Roman"/>
          <w:b/>
          <w:snapToGrid w:val="0"/>
          <w:color w:val="000000" w:themeColor="text1"/>
        </w:rPr>
        <w:t xml:space="preserve"> károkért való felelősség szabályain alapuló igényérvényesítési lehetőség</w:t>
      </w:r>
      <w:r w:rsidRPr="003D7939">
        <w:rPr>
          <w:rFonts w:ascii="Times New Roman" w:hAnsi="Times New Roman" w:cs="Times New Roman"/>
          <w:b/>
          <w:snapToGrid w:val="0"/>
          <w:color w:val="000000" w:themeColor="text1"/>
        </w:rPr>
        <w:t>e</w:t>
      </w:r>
      <w:r w:rsidR="00DF3FCD" w:rsidRPr="003D7939">
        <w:rPr>
          <w:rFonts w:ascii="Times New Roman" w:hAnsi="Times New Roman" w:cs="Times New Roman"/>
          <w:b/>
          <w:snapToGrid w:val="0"/>
          <w:color w:val="000000" w:themeColor="text1"/>
        </w:rPr>
        <w:t>i</w:t>
      </w:r>
      <w:r w:rsidRPr="003D7939">
        <w:rPr>
          <w:rFonts w:ascii="Times New Roman" w:hAnsi="Times New Roman" w:cs="Times New Roman"/>
          <w:b/>
          <w:snapToGrid w:val="0"/>
          <w:color w:val="000000" w:themeColor="text1"/>
        </w:rPr>
        <w:t>t</w:t>
      </w:r>
      <w:r w:rsidRPr="003D7939">
        <w:rPr>
          <w:rFonts w:ascii="Times New Roman" w:hAnsi="Times New Roman" w:cs="Times New Roman"/>
          <w:snapToGrid w:val="0"/>
          <w:color w:val="000000" w:themeColor="text1"/>
        </w:rPr>
        <w:t>, így például nem kizárt mellette a kellé</w:t>
      </w:r>
      <w:r w:rsidR="00B64FC7" w:rsidRPr="003D7939">
        <w:rPr>
          <w:rFonts w:ascii="Times New Roman" w:hAnsi="Times New Roman" w:cs="Times New Roman"/>
          <w:color w:val="000000" w:themeColor="text1"/>
        </w:rPr>
        <w:t>kszavatossági igény</w:t>
      </w:r>
      <w:r w:rsidRPr="003D7939">
        <w:rPr>
          <w:rFonts w:ascii="Times New Roman" w:hAnsi="Times New Roman" w:cs="Times New Roman"/>
          <w:color w:val="000000" w:themeColor="text1"/>
        </w:rPr>
        <w:t>ek</w:t>
      </w:r>
      <w:r w:rsidR="00B64FC7" w:rsidRPr="003D7939">
        <w:rPr>
          <w:rFonts w:ascii="Times New Roman" w:hAnsi="Times New Roman" w:cs="Times New Roman"/>
          <w:color w:val="000000" w:themeColor="text1"/>
        </w:rPr>
        <w:t xml:space="preserve"> </w:t>
      </w:r>
      <w:r w:rsidRPr="003D7939">
        <w:rPr>
          <w:rFonts w:ascii="Times New Roman" w:hAnsi="Times New Roman" w:cs="Times New Roman"/>
          <w:color w:val="000000" w:themeColor="text1"/>
        </w:rPr>
        <w:t>érvényesítése sem</w:t>
      </w:r>
      <w:r w:rsidR="00007051" w:rsidRPr="003D7939">
        <w:rPr>
          <w:rFonts w:ascii="Times New Roman" w:hAnsi="Times New Roman" w:cs="Times New Roman"/>
          <w:color w:val="000000" w:themeColor="text1"/>
        </w:rPr>
        <w:t xml:space="preserve"> (lásd például</w:t>
      </w:r>
      <w:r w:rsidR="00562549" w:rsidRPr="003D7939">
        <w:rPr>
          <w:rFonts w:ascii="Times New Roman" w:hAnsi="Times New Roman" w:cs="Times New Roman"/>
          <w:color w:val="000000"/>
        </w:rPr>
        <w:t xml:space="preserve"> </w:t>
      </w:r>
      <w:r w:rsidR="00007051" w:rsidRPr="003D7939">
        <w:rPr>
          <w:rFonts w:ascii="Times New Roman" w:hAnsi="Times New Roman" w:cs="Times New Roman"/>
          <w:i/>
          <w:color w:val="000000" w:themeColor="text1"/>
        </w:rPr>
        <w:t>Fővárosi Törvényszék 24.G.42.277/2010/30.</w:t>
      </w:r>
      <w:r w:rsidR="00F32006" w:rsidRPr="003D7939">
        <w:rPr>
          <w:rFonts w:ascii="Times New Roman" w:hAnsi="Times New Roman" w:cs="Times New Roman"/>
          <w:i/>
          <w:color w:val="000000" w:themeColor="text1"/>
        </w:rPr>
        <w:t>, Bács-Kiskun Megyei Bíróság 14.P.21.783/2006/41.</w:t>
      </w:r>
      <w:r w:rsidR="00007051" w:rsidRPr="003D7939">
        <w:rPr>
          <w:rFonts w:ascii="Times New Roman" w:hAnsi="Times New Roman" w:cs="Times New Roman"/>
          <w:i/>
          <w:color w:val="000000" w:themeColor="text1"/>
        </w:rPr>
        <w:t>)</w:t>
      </w:r>
      <w:r w:rsidRPr="003D7939">
        <w:rPr>
          <w:rFonts w:ascii="Times New Roman" w:hAnsi="Times New Roman" w:cs="Times New Roman"/>
          <w:i/>
          <w:color w:val="000000" w:themeColor="text1"/>
        </w:rPr>
        <w:t>.</w:t>
      </w:r>
      <w:proofErr w:type="gramEnd"/>
      <w:r w:rsidR="00B64FC7" w:rsidRPr="003D7939">
        <w:rPr>
          <w:rFonts w:ascii="Times New Roman" w:hAnsi="Times New Roman" w:cs="Times New Roman"/>
          <w:color w:val="000000" w:themeColor="text1"/>
        </w:rPr>
        <w:t xml:space="preserve"> </w:t>
      </w:r>
      <w:r w:rsidR="001F3099" w:rsidRPr="003D7939">
        <w:rPr>
          <w:rFonts w:ascii="Times New Roman" w:hAnsi="Times New Roman" w:cs="Times New Roman"/>
          <w:color w:val="000000" w:themeColor="text1"/>
        </w:rPr>
        <w:t xml:space="preserve"> </w:t>
      </w:r>
      <w:r w:rsidR="001F3099" w:rsidRPr="003D7939">
        <w:rPr>
          <w:rFonts w:ascii="Times New Roman" w:hAnsi="Times New Roman" w:cs="Times New Roman"/>
          <w:iCs/>
        </w:rPr>
        <w:t>Ha a per tárgya ugyanakkor nem a termék hibája által okozott kártérítési igény, hanem szerződésszegésen alapuló szavatossági igény, az alperes termékfelelősségi szabályokra vonatkozó kimentése nem alapos (</w:t>
      </w:r>
      <w:r w:rsidR="001F3099" w:rsidRPr="003D7939">
        <w:rPr>
          <w:rFonts w:ascii="Times New Roman" w:hAnsi="Times New Roman" w:cs="Times New Roman"/>
          <w:i/>
          <w:iCs/>
        </w:rPr>
        <w:t xml:space="preserve">Bács-Kiskun Megyei Bíróság </w:t>
      </w:r>
      <w:r w:rsidR="001F3099" w:rsidRPr="003D7939">
        <w:rPr>
          <w:rFonts w:ascii="Times New Roman" w:hAnsi="Times New Roman" w:cs="Times New Roman"/>
          <w:bCs/>
          <w:i/>
          <w:iCs/>
        </w:rPr>
        <w:t>16</w:t>
      </w:r>
      <w:proofErr w:type="gramStart"/>
      <w:r w:rsidR="001F3099" w:rsidRPr="003D7939">
        <w:rPr>
          <w:rFonts w:ascii="Times New Roman" w:hAnsi="Times New Roman" w:cs="Times New Roman"/>
          <w:bCs/>
          <w:i/>
          <w:iCs/>
        </w:rPr>
        <w:t>.P.</w:t>
      </w:r>
      <w:proofErr w:type="gramEnd"/>
      <w:r w:rsidR="001F3099" w:rsidRPr="003D7939">
        <w:rPr>
          <w:rFonts w:ascii="Times New Roman" w:hAnsi="Times New Roman" w:cs="Times New Roman"/>
          <w:bCs/>
          <w:i/>
          <w:iCs/>
        </w:rPr>
        <w:t>21.670/2004/83.</w:t>
      </w:r>
      <w:r w:rsidR="001F3099" w:rsidRPr="003D7939">
        <w:rPr>
          <w:rFonts w:ascii="Times New Roman" w:hAnsi="Times New Roman" w:cs="Times New Roman"/>
          <w:bCs/>
          <w:iCs/>
        </w:rPr>
        <w:t>).</w:t>
      </w:r>
    </w:p>
    <w:sectPr w:rsidR="00133427" w:rsidRPr="00133427" w:rsidSect="007A56FC">
      <w:footerReference w:type="default" r:id="rId8"/>
      <w:pgSz w:w="9360" w:h="13320"/>
      <w:pgMar w:top="1140" w:right="1100" w:bottom="180" w:left="11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03" w:rsidRDefault="00DC7903" w:rsidP="00D275AA">
      <w:r>
        <w:separator/>
      </w:r>
    </w:p>
  </w:endnote>
  <w:endnote w:type="continuationSeparator" w:id="0">
    <w:p w:rsidR="00DC7903" w:rsidRDefault="00DC7903" w:rsidP="00D27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20944204"/>
      <w:docPartObj>
        <w:docPartGallery w:val="Page Numbers (Bottom of Page)"/>
        <w:docPartUnique/>
      </w:docPartObj>
    </w:sdtPr>
    <w:sdtContent>
      <w:p w:rsidR="00D04905" w:rsidRPr="007D15E2" w:rsidRDefault="00AF58BD">
        <w:pPr>
          <w:pStyle w:val="llb"/>
          <w:jc w:val="center"/>
          <w:rPr>
            <w:rFonts w:ascii="Times New Roman" w:hAnsi="Times New Roman" w:cs="Times New Roman"/>
            <w:sz w:val="16"/>
            <w:szCs w:val="16"/>
          </w:rPr>
        </w:pPr>
        <w:r w:rsidRPr="007D15E2">
          <w:rPr>
            <w:rFonts w:ascii="Times New Roman" w:hAnsi="Times New Roman" w:cs="Times New Roman"/>
            <w:sz w:val="16"/>
            <w:szCs w:val="16"/>
          </w:rPr>
          <w:fldChar w:fldCharType="begin"/>
        </w:r>
        <w:r w:rsidR="00D04905" w:rsidRPr="007D15E2">
          <w:rPr>
            <w:rFonts w:ascii="Times New Roman" w:hAnsi="Times New Roman" w:cs="Times New Roman"/>
            <w:sz w:val="16"/>
            <w:szCs w:val="16"/>
          </w:rPr>
          <w:instrText xml:space="preserve"> PAGE   \* MERGEFORMAT </w:instrText>
        </w:r>
        <w:r w:rsidRPr="007D15E2">
          <w:rPr>
            <w:rFonts w:ascii="Times New Roman" w:hAnsi="Times New Roman" w:cs="Times New Roman"/>
            <w:sz w:val="16"/>
            <w:szCs w:val="16"/>
          </w:rPr>
          <w:fldChar w:fldCharType="separate"/>
        </w:r>
        <w:r w:rsidR="00E445E4">
          <w:rPr>
            <w:rFonts w:ascii="Times New Roman" w:hAnsi="Times New Roman" w:cs="Times New Roman"/>
            <w:noProof/>
            <w:sz w:val="16"/>
            <w:szCs w:val="16"/>
          </w:rPr>
          <w:t>1</w:t>
        </w:r>
        <w:r w:rsidRPr="007D15E2">
          <w:rPr>
            <w:rFonts w:ascii="Times New Roman" w:hAnsi="Times New Roman" w:cs="Times New Roman"/>
            <w:sz w:val="16"/>
            <w:szCs w:val="16"/>
          </w:rPr>
          <w:fldChar w:fldCharType="end"/>
        </w:r>
      </w:p>
    </w:sdtContent>
  </w:sdt>
  <w:p w:rsidR="00D04905" w:rsidRDefault="00D0490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03" w:rsidRDefault="00DC7903" w:rsidP="00D275AA">
      <w:r>
        <w:separator/>
      </w:r>
    </w:p>
  </w:footnote>
  <w:footnote w:type="continuationSeparator" w:id="0">
    <w:p w:rsidR="00DC7903" w:rsidRDefault="00DC7903" w:rsidP="00D275AA">
      <w:r>
        <w:continuationSeparator/>
      </w:r>
    </w:p>
  </w:footnote>
  <w:footnote w:id="1">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P</w:t>
      </w:r>
      <w:r w:rsidRPr="000E4488">
        <w:rPr>
          <w:rFonts w:ascii="Times New Roman" w:hAnsi="Times New Roman" w:cs="Times New Roman"/>
          <w:color w:val="000000" w:themeColor="text1"/>
          <w:sz w:val="16"/>
          <w:szCs w:val="16"/>
        </w:rPr>
        <w:t xml:space="preserve">éldául ilyen termék volt a méreg a korábbi joggyakorlatban; lásd Thomas kontra Winchester ügyet, ahol mérgező anyag téves címkézésével összefüggésben került a </w:t>
      </w:r>
      <w:r w:rsidRPr="000E4488">
        <w:rPr>
          <w:rFonts w:ascii="Times New Roman" w:hAnsi="Times New Roman" w:cs="Times New Roman"/>
          <w:sz w:val="16"/>
          <w:szCs w:val="16"/>
        </w:rPr>
        <w:t xml:space="preserve">termékfelelősség konstrukciója kialakításra a joggyakorlatban azon termékek esetében, amelyek veszélyesek az emberi életre; vagy az ital és az élelmiszer; lásd </w:t>
      </w:r>
      <w:proofErr w:type="spellStart"/>
      <w:r w:rsidRPr="000E4488">
        <w:rPr>
          <w:rFonts w:ascii="Times New Roman" w:hAnsi="Times New Roman" w:cs="Times New Roman"/>
          <w:sz w:val="16"/>
          <w:szCs w:val="16"/>
        </w:rPr>
        <w:t>Boyd</w:t>
      </w:r>
      <w:proofErr w:type="spellEnd"/>
      <w:r w:rsidRPr="000E4488">
        <w:rPr>
          <w:rFonts w:ascii="Times New Roman" w:hAnsi="Times New Roman" w:cs="Times New Roman"/>
          <w:sz w:val="16"/>
          <w:szCs w:val="16"/>
        </w:rPr>
        <w:t xml:space="preserve"> kontra Coca Cola </w:t>
      </w:r>
      <w:proofErr w:type="spellStart"/>
      <w:r w:rsidRPr="000E4488">
        <w:rPr>
          <w:rFonts w:ascii="Times New Roman" w:hAnsi="Times New Roman" w:cs="Times New Roman"/>
          <w:sz w:val="16"/>
          <w:szCs w:val="16"/>
        </w:rPr>
        <w:t>Bottling</w:t>
      </w:r>
      <w:proofErr w:type="spellEnd"/>
      <w:r w:rsidRPr="000E4488">
        <w:rPr>
          <w:rFonts w:ascii="Times New Roman" w:hAnsi="Times New Roman" w:cs="Times New Roman"/>
          <w:sz w:val="16"/>
          <w:szCs w:val="16"/>
        </w:rPr>
        <w:t xml:space="preserve"> Works ügyet, amely esetben egy palackba került szivarcsonk nikotin tartalma okozott rosszullétet</w:t>
      </w:r>
    </w:p>
  </w:footnote>
  <w:footnote w:id="2">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Michael S </w:t>
      </w:r>
      <w:r w:rsidRPr="000E4488">
        <w:rPr>
          <w:rFonts w:ascii="Times New Roman" w:hAnsi="Times New Roman" w:cs="Times New Roman"/>
          <w:smallCaps/>
          <w:sz w:val="16"/>
          <w:szCs w:val="16"/>
        </w:rPr>
        <w:t>Hamilton</w:t>
      </w:r>
      <w:r w:rsidRPr="000E4488">
        <w:rPr>
          <w:rFonts w:ascii="Times New Roman" w:hAnsi="Times New Roman" w:cs="Times New Roman"/>
          <w:sz w:val="16"/>
          <w:szCs w:val="16"/>
        </w:rPr>
        <w:t xml:space="preserve">, George W </w:t>
      </w:r>
      <w:proofErr w:type="spellStart"/>
      <w:r w:rsidRPr="000E4488">
        <w:rPr>
          <w:rFonts w:ascii="Times New Roman" w:hAnsi="Times New Roman" w:cs="Times New Roman"/>
          <w:smallCaps/>
          <w:sz w:val="16"/>
          <w:szCs w:val="16"/>
        </w:rPr>
        <w:t>Spiro</w:t>
      </w:r>
      <w:proofErr w:type="spellEnd"/>
      <w:r w:rsidRPr="000E4488">
        <w:rPr>
          <w:rFonts w:ascii="Times New Roman" w:hAnsi="Times New Roman" w:cs="Times New Roman"/>
          <w:sz w:val="16"/>
          <w:szCs w:val="16"/>
        </w:rPr>
        <w:t xml:space="preserve">: The Dynamics of Law, </w:t>
      </w:r>
      <w:proofErr w:type="spellStart"/>
      <w:r w:rsidRPr="000E4488">
        <w:rPr>
          <w:rFonts w:ascii="Times New Roman" w:hAnsi="Times New Roman" w:cs="Times New Roman"/>
          <w:sz w:val="16"/>
          <w:szCs w:val="16"/>
        </w:rPr>
        <w:t>Routledge</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Abingdon</w:t>
      </w:r>
      <w:proofErr w:type="spellEnd"/>
      <w:r w:rsidRPr="000E4488">
        <w:rPr>
          <w:rFonts w:ascii="Times New Roman" w:hAnsi="Times New Roman" w:cs="Times New Roman"/>
          <w:sz w:val="16"/>
          <w:szCs w:val="16"/>
        </w:rPr>
        <w:t>, 2014. 81-85.</w:t>
      </w:r>
    </w:p>
  </w:footnote>
  <w:footnote w:id="3">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Raymond </w:t>
      </w:r>
      <w:proofErr w:type="spellStart"/>
      <w:r w:rsidRPr="000E4488">
        <w:rPr>
          <w:rFonts w:ascii="Times New Roman" w:hAnsi="Times New Roman" w:cs="Times New Roman"/>
          <w:smallCaps/>
          <w:kern w:val="20"/>
          <w:sz w:val="16"/>
          <w:szCs w:val="16"/>
        </w:rPr>
        <w:t>Youngs</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Sourcebook</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on</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German</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law</w:t>
      </w:r>
      <w:proofErr w:type="spellEnd"/>
      <w:r w:rsidRPr="000E4488">
        <w:rPr>
          <w:rFonts w:ascii="Times New Roman" w:hAnsi="Times New Roman" w:cs="Times New Roman"/>
          <w:sz w:val="16"/>
          <w:szCs w:val="16"/>
        </w:rPr>
        <w:t xml:space="preserve">, London, </w:t>
      </w:r>
      <w:proofErr w:type="spellStart"/>
      <w:r w:rsidRPr="000E4488">
        <w:rPr>
          <w:rFonts w:ascii="Times New Roman" w:hAnsi="Times New Roman" w:cs="Times New Roman"/>
          <w:sz w:val="16"/>
          <w:szCs w:val="16"/>
        </w:rPr>
        <w:t>Routledge</w:t>
      </w:r>
      <w:proofErr w:type="spellEnd"/>
      <w:r w:rsidRPr="000E4488">
        <w:rPr>
          <w:rFonts w:ascii="Times New Roman" w:hAnsi="Times New Roman" w:cs="Times New Roman"/>
          <w:sz w:val="16"/>
          <w:szCs w:val="16"/>
        </w:rPr>
        <w:t xml:space="preserve"> Cavendish, 2002., 438-467. </w:t>
      </w:r>
    </w:p>
  </w:footnote>
  <w:footnote w:id="4">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Style w:val="apple-style-span"/>
          <w:rFonts w:ascii="Times New Roman" w:hAnsi="Times New Roman" w:cs="Times New Roman"/>
          <w:smallCaps/>
          <w:color w:val="000000"/>
          <w:kern w:val="20"/>
          <w:sz w:val="16"/>
          <w:szCs w:val="16"/>
        </w:rPr>
        <w:t xml:space="preserve"> </w:t>
      </w:r>
      <w:r w:rsidRPr="000E4488">
        <w:rPr>
          <w:rStyle w:val="apple-style-span"/>
          <w:rFonts w:ascii="Times New Roman" w:hAnsi="Times New Roman" w:cs="Times New Roman"/>
          <w:color w:val="000000"/>
          <w:sz w:val="16"/>
          <w:szCs w:val="16"/>
        </w:rPr>
        <w:t xml:space="preserve">Martin </w:t>
      </w:r>
      <w:proofErr w:type="spellStart"/>
      <w:r w:rsidRPr="000E4488">
        <w:rPr>
          <w:rStyle w:val="apple-style-span"/>
          <w:rFonts w:ascii="Times New Roman" w:hAnsi="Times New Roman" w:cs="Times New Roman"/>
          <w:smallCaps/>
          <w:color w:val="000000"/>
          <w:kern w:val="20"/>
          <w:sz w:val="16"/>
          <w:szCs w:val="16"/>
        </w:rPr>
        <w:t>Ebers</w:t>
      </w:r>
      <w:proofErr w:type="spellEnd"/>
      <w:r w:rsidRPr="000E4488">
        <w:rPr>
          <w:rStyle w:val="apple-style-span"/>
          <w:rFonts w:ascii="Times New Roman" w:hAnsi="Times New Roman" w:cs="Times New Roman"/>
          <w:smallCaps/>
          <w:color w:val="000000"/>
          <w:kern w:val="20"/>
          <w:sz w:val="16"/>
          <w:szCs w:val="16"/>
        </w:rPr>
        <w:t xml:space="preserve">, </w:t>
      </w:r>
      <w:r w:rsidRPr="000E4488">
        <w:rPr>
          <w:rStyle w:val="apple-style-span"/>
          <w:rFonts w:ascii="Times New Roman" w:hAnsi="Times New Roman" w:cs="Times New Roman"/>
          <w:color w:val="000000"/>
          <w:sz w:val="16"/>
          <w:szCs w:val="16"/>
        </w:rPr>
        <w:t xml:space="preserve">André </w:t>
      </w:r>
      <w:proofErr w:type="spellStart"/>
      <w:r w:rsidRPr="000E4488">
        <w:rPr>
          <w:rStyle w:val="apple-style-span"/>
          <w:rFonts w:ascii="Times New Roman" w:hAnsi="Times New Roman" w:cs="Times New Roman"/>
          <w:smallCaps/>
          <w:color w:val="000000"/>
          <w:kern w:val="20"/>
          <w:sz w:val="16"/>
          <w:szCs w:val="16"/>
        </w:rPr>
        <w:t>Janssen</w:t>
      </w:r>
      <w:proofErr w:type="spellEnd"/>
      <w:r w:rsidRPr="000E4488">
        <w:rPr>
          <w:rStyle w:val="apple-style-span"/>
          <w:rFonts w:ascii="Times New Roman" w:hAnsi="Times New Roman" w:cs="Times New Roman"/>
          <w:color w:val="000000"/>
          <w:sz w:val="16"/>
          <w:szCs w:val="16"/>
        </w:rPr>
        <w:t>, Olaf</w:t>
      </w:r>
      <w:r w:rsidRPr="000E4488">
        <w:rPr>
          <w:rStyle w:val="apple-style-span"/>
          <w:rFonts w:ascii="Times New Roman" w:hAnsi="Times New Roman" w:cs="Times New Roman"/>
          <w:smallCaps/>
          <w:color w:val="000000"/>
          <w:kern w:val="20"/>
          <w:sz w:val="16"/>
          <w:szCs w:val="16"/>
        </w:rPr>
        <w:t xml:space="preserve"> Meyer:</w:t>
      </w:r>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Comparative</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Report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in</w:t>
      </w:r>
      <w:proofErr w:type="spellEnd"/>
      <w:r w:rsidRPr="000E4488">
        <w:rPr>
          <w:rFonts w:ascii="Times New Roman" w:hAnsi="Times New Roman" w:cs="Times New Roman"/>
          <w:sz w:val="16"/>
          <w:szCs w:val="16"/>
        </w:rPr>
        <w:t xml:space="preserve"> E</w:t>
      </w:r>
      <w:r w:rsidRPr="000E4488">
        <w:rPr>
          <w:rStyle w:val="Kiemels"/>
          <w:rFonts w:ascii="Times New Roman" w:hAnsi="Times New Roman" w:cs="Times New Roman"/>
          <w:bCs/>
          <w:i w:val="0"/>
          <w:iCs w:val="0"/>
          <w:color w:val="000000"/>
          <w:sz w:val="16"/>
          <w:szCs w:val="16"/>
        </w:rPr>
        <w:t xml:space="preserve">uropean </w:t>
      </w:r>
      <w:proofErr w:type="spellStart"/>
      <w:r w:rsidRPr="000E4488">
        <w:rPr>
          <w:rStyle w:val="Kiemels"/>
          <w:rFonts w:ascii="Times New Roman" w:hAnsi="Times New Roman" w:cs="Times New Roman"/>
          <w:bCs/>
          <w:i w:val="0"/>
          <w:iCs w:val="0"/>
          <w:color w:val="000000"/>
          <w:sz w:val="16"/>
          <w:szCs w:val="16"/>
        </w:rPr>
        <w:t>Perspectives</w:t>
      </w:r>
      <w:proofErr w:type="spellEnd"/>
      <w:r w:rsidRPr="000E4488">
        <w:rPr>
          <w:rStyle w:val="Kiemels"/>
          <w:rFonts w:ascii="Times New Roman" w:hAnsi="Times New Roman" w:cs="Times New Roman"/>
          <w:bCs/>
          <w:i w:val="0"/>
          <w:iCs w:val="0"/>
          <w:color w:val="000000"/>
          <w:sz w:val="16"/>
          <w:szCs w:val="16"/>
        </w:rPr>
        <w:t xml:space="preserve"> </w:t>
      </w:r>
      <w:proofErr w:type="spellStart"/>
      <w:r w:rsidRPr="000E4488">
        <w:rPr>
          <w:rStyle w:val="Kiemels"/>
          <w:rFonts w:ascii="Times New Roman" w:hAnsi="Times New Roman" w:cs="Times New Roman"/>
          <w:bCs/>
          <w:i w:val="0"/>
          <w:iCs w:val="0"/>
          <w:color w:val="000000"/>
          <w:sz w:val="16"/>
          <w:szCs w:val="16"/>
        </w:rPr>
        <w:t>on</w:t>
      </w:r>
      <w:proofErr w:type="spellEnd"/>
      <w:r w:rsidRPr="000E4488">
        <w:rPr>
          <w:rStyle w:val="Kiemels"/>
          <w:rFonts w:ascii="Times New Roman" w:hAnsi="Times New Roman" w:cs="Times New Roman"/>
          <w:bCs/>
          <w:i w:val="0"/>
          <w:iCs w:val="0"/>
          <w:color w:val="000000"/>
          <w:sz w:val="16"/>
          <w:szCs w:val="16"/>
        </w:rPr>
        <w:t xml:space="preserve"> </w:t>
      </w:r>
      <w:proofErr w:type="spellStart"/>
      <w:r w:rsidRPr="000E4488">
        <w:rPr>
          <w:rStyle w:val="Kiemels"/>
          <w:rFonts w:ascii="Times New Roman" w:hAnsi="Times New Roman" w:cs="Times New Roman"/>
          <w:bCs/>
          <w:i w:val="0"/>
          <w:iCs w:val="0"/>
          <w:color w:val="000000"/>
          <w:sz w:val="16"/>
          <w:szCs w:val="16"/>
        </w:rPr>
        <w:t>Producers</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Liability</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Direct</w:t>
      </w:r>
      <w:proofErr w:type="spellEnd"/>
      <w:r w:rsidRPr="000E4488">
        <w:rPr>
          <w:rStyle w:val="apple-converted-space"/>
          <w:rFonts w:ascii="Times New Roman" w:hAnsi="Times New Roman" w:cs="Times New Roman"/>
          <w:color w:val="000000"/>
          <w:sz w:val="16"/>
          <w:szCs w:val="16"/>
        </w:rPr>
        <w:t> </w:t>
      </w:r>
      <w:proofErr w:type="spellStart"/>
      <w:r w:rsidRPr="000E4488">
        <w:rPr>
          <w:rStyle w:val="Kiemels"/>
          <w:rFonts w:ascii="Times New Roman" w:hAnsi="Times New Roman" w:cs="Times New Roman"/>
          <w:bCs/>
          <w:i w:val="0"/>
          <w:iCs w:val="0"/>
          <w:color w:val="000000"/>
          <w:sz w:val="16"/>
          <w:szCs w:val="16"/>
        </w:rPr>
        <w:t>Producers</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Liability</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for</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Non-conformity</w:t>
      </w:r>
      <w:proofErr w:type="spellEnd"/>
      <w:r w:rsidRPr="000E4488">
        <w:rPr>
          <w:rStyle w:val="apple-style-span"/>
          <w:rFonts w:ascii="Times New Roman" w:hAnsi="Times New Roman" w:cs="Times New Roman"/>
          <w:color w:val="000000"/>
          <w:sz w:val="16"/>
          <w:szCs w:val="16"/>
        </w:rPr>
        <w:t xml:space="preserve"> and </w:t>
      </w:r>
      <w:proofErr w:type="spellStart"/>
      <w:r w:rsidRPr="000E4488">
        <w:rPr>
          <w:rStyle w:val="apple-style-span"/>
          <w:rFonts w:ascii="Times New Roman" w:hAnsi="Times New Roman" w:cs="Times New Roman"/>
          <w:color w:val="000000"/>
          <w:sz w:val="16"/>
          <w:szCs w:val="16"/>
        </w:rPr>
        <w:t>the</w:t>
      </w:r>
      <w:proofErr w:type="spellEnd"/>
      <w:r w:rsidRPr="000E4488">
        <w:rPr>
          <w:rStyle w:val="apple-style-span"/>
          <w:rFonts w:ascii="Times New Roman" w:hAnsi="Times New Roman" w:cs="Times New Roman"/>
          <w:color w:val="000000"/>
          <w:sz w:val="16"/>
          <w:szCs w:val="16"/>
        </w:rPr>
        <w:t xml:space="preserve"> </w:t>
      </w:r>
      <w:proofErr w:type="spellStart"/>
      <w:r w:rsidRPr="000E4488">
        <w:rPr>
          <w:rStyle w:val="apple-style-span"/>
          <w:rFonts w:ascii="Times New Roman" w:hAnsi="Times New Roman" w:cs="Times New Roman"/>
          <w:color w:val="000000"/>
          <w:sz w:val="16"/>
          <w:szCs w:val="16"/>
        </w:rPr>
        <w:t>Sellers</w:t>
      </w:r>
      <w:proofErr w:type="spellEnd"/>
      <w:r w:rsidRPr="000E4488">
        <w:rPr>
          <w:rStyle w:val="apple-style-span"/>
          <w:rFonts w:ascii="Times New Roman" w:hAnsi="Times New Roman" w:cs="Times New Roman"/>
          <w:color w:val="000000"/>
          <w:sz w:val="16"/>
          <w:szCs w:val="16"/>
        </w:rPr>
        <w:t xml:space="preserve">' Right of </w:t>
      </w:r>
      <w:proofErr w:type="spellStart"/>
      <w:r w:rsidRPr="000E4488">
        <w:rPr>
          <w:rStyle w:val="apple-style-span"/>
          <w:rFonts w:ascii="Times New Roman" w:hAnsi="Times New Roman" w:cs="Times New Roman"/>
          <w:color w:val="000000"/>
          <w:sz w:val="16"/>
          <w:szCs w:val="16"/>
        </w:rPr>
        <w:t>Redress</w:t>
      </w:r>
      <w:proofErr w:type="spellEnd"/>
      <w:r w:rsidRPr="000E4488">
        <w:rPr>
          <w:rStyle w:val="apple-style-span"/>
          <w:rFonts w:ascii="Times New Roman" w:hAnsi="Times New Roman" w:cs="Times New Roman"/>
          <w:color w:val="000000"/>
          <w:sz w:val="16"/>
          <w:szCs w:val="16"/>
        </w:rPr>
        <w:t xml:space="preserve"> (szerk.: Martin </w:t>
      </w:r>
      <w:proofErr w:type="spellStart"/>
      <w:r w:rsidRPr="000E4488">
        <w:rPr>
          <w:rStyle w:val="apple-style-span"/>
          <w:rFonts w:ascii="Times New Roman" w:hAnsi="Times New Roman" w:cs="Times New Roman"/>
          <w:color w:val="000000"/>
          <w:sz w:val="16"/>
          <w:szCs w:val="16"/>
        </w:rPr>
        <w:t>Ebers</w:t>
      </w:r>
      <w:proofErr w:type="spellEnd"/>
      <w:r w:rsidRPr="000E4488">
        <w:rPr>
          <w:rStyle w:val="apple-style-span"/>
          <w:rFonts w:ascii="Times New Roman" w:hAnsi="Times New Roman" w:cs="Times New Roman"/>
          <w:color w:val="000000"/>
          <w:sz w:val="16"/>
          <w:szCs w:val="16"/>
        </w:rPr>
        <w:t xml:space="preserve">, André </w:t>
      </w:r>
      <w:proofErr w:type="spellStart"/>
      <w:r w:rsidRPr="000E4488">
        <w:rPr>
          <w:rStyle w:val="apple-style-span"/>
          <w:rFonts w:ascii="Times New Roman" w:hAnsi="Times New Roman" w:cs="Times New Roman"/>
          <w:color w:val="000000"/>
          <w:sz w:val="16"/>
          <w:szCs w:val="16"/>
        </w:rPr>
        <w:t>Janssen</w:t>
      </w:r>
      <w:proofErr w:type="spellEnd"/>
      <w:r w:rsidRPr="000E4488">
        <w:rPr>
          <w:rStyle w:val="apple-style-span"/>
          <w:rFonts w:ascii="Times New Roman" w:hAnsi="Times New Roman" w:cs="Times New Roman"/>
          <w:color w:val="000000"/>
          <w:sz w:val="16"/>
          <w:szCs w:val="16"/>
        </w:rPr>
        <w:t xml:space="preserve">, Olaf Meyer), München, </w:t>
      </w:r>
      <w:proofErr w:type="spellStart"/>
      <w:r w:rsidRPr="000E4488">
        <w:rPr>
          <w:rStyle w:val="apple-style-span"/>
          <w:rFonts w:ascii="Times New Roman" w:hAnsi="Times New Roman" w:cs="Times New Roman"/>
          <w:color w:val="000000"/>
          <w:sz w:val="16"/>
          <w:szCs w:val="16"/>
        </w:rPr>
        <w:t>Sellier</w:t>
      </w:r>
      <w:proofErr w:type="spellEnd"/>
      <w:r w:rsidRPr="000E4488">
        <w:rPr>
          <w:rStyle w:val="apple-style-span"/>
          <w:rFonts w:ascii="Times New Roman" w:hAnsi="Times New Roman" w:cs="Times New Roman"/>
          <w:color w:val="000000"/>
          <w:sz w:val="16"/>
          <w:szCs w:val="16"/>
        </w:rPr>
        <w:t xml:space="preserve"> European Law </w:t>
      </w:r>
      <w:proofErr w:type="spellStart"/>
      <w:r w:rsidRPr="000E4488">
        <w:rPr>
          <w:rStyle w:val="apple-style-span"/>
          <w:rFonts w:ascii="Times New Roman" w:hAnsi="Times New Roman" w:cs="Times New Roman"/>
          <w:color w:val="000000"/>
          <w:sz w:val="16"/>
          <w:szCs w:val="16"/>
        </w:rPr>
        <w:t>Publishers</w:t>
      </w:r>
      <w:proofErr w:type="spellEnd"/>
      <w:r w:rsidRPr="000E4488">
        <w:rPr>
          <w:rStyle w:val="apple-style-span"/>
          <w:rFonts w:ascii="Times New Roman" w:hAnsi="Times New Roman" w:cs="Times New Roman"/>
          <w:color w:val="000000"/>
          <w:sz w:val="16"/>
          <w:szCs w:val="16"/>
        </w:rPr>
        <w:t xml:space="preserve">, 2009., </w:t>
      </w:r>
      <w:r w:rsidRPr="000E4488">
        <w:rPr>
          <w:rFonts w:ascii="Times New Roman" w:hAnsi="Times New Roman" w:cs="Times New Roman"/>
          <w:sz w:val="16"/>
          <w:szCs w:val="16"/>
        </w:rPr>
        <w:t xml:space="preserve">9. </w:t>
      </w:r>
    </w:p>
  </w:footnote>
  <w:footnote w:id="5">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Wolfgang </w:t>
      </w:r>
      <w:proofErr w:type="spellStart"/>
      <w:r w:rsidRPr="000E4488">
        <w:rPr>
          <w:rFonts w:ascii="Times New Roman" w:hAnsi="Times New Roman" w:cs="Times New Roman"/>
          <w:smallCaps/>
          <w:sz w:val="16"/>
          <w:szCs w:val="16"/>
        </w:rPr>
        <w:t>Kallwass</w:t>
      </w:r>
      <w:proofErr w:type="spellEnd"/>
      <w:r w:rsidRPr="000E4488">
        <w:rPr>
          <w:rFonts w:ascii="Times New Roman" w:hAnsi="Times New Roman" w:cs="Times New Roman"/>
          <w:sz w:val="16"/>
          <w:szCs w:val="16"/>
        </w:rPr>
        <w:t xml:space="preserve">, Peter </w:t>
      </w:r>
      <w:proofErr w:type="spellStart"/>
      <w:r w:rsidRPr="000E4488">
        <w:rPr>
          <w:rFonts w:ascii="Times New Roman" w:hAnsi="Times New Roman" w:cs="Times New Roman"/>
          <w:smallCaps/>
          <w:sz w:val="16"/>
          <w:szCs w:val="16"/>
        </w:rPr>
        <w:t>Abels</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Privatrecht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Bürgerliches</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Recht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Handelsrecht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Gesellschaftsrecht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Zivilprozessrecht</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Insolvenzrecht</w:t>
      </w:r>
      <w:proofErr w:type="spellEnd"/>
      <w:r w:rsidRPr="000E4488">
        <w:rPr>
          <w:rFonts w:ascii="Times New Roman" w:hAnsi="Times New Roman" w:cs="Times New Roman"/>
          <w:sz w:val="16"/>
          <w:szCs w:val="16"/>
        </w:rPr>
        <w:t xml:space="preserve">, München, Franz </w:t>
      </w:r>
      <w:proofErr w:type="spellStart"/>
      <w:r w:rsidRPr="000E4488">
        <w:rPr>
          <w:rFonts w:ascii="Times New Roman" w:hAnsi="Times New Roman" w:cs="Times New Roman"/>
          <w:sz w:val="16"/>
          <w:szCs w:val="16"/>
        </w:rPr>
        <w:t>Vahlen</w:t>
      </w:r>
      <w:proofErr w:type="spellEnd"/>
      <w:r w:rsidRPr="000E4488">
        <w:rPr>
          <w:rFonts w:ascii="Times New Roman" w:hAnsi="Times New Roman" w:cs="Times New Roman"/>
          <w:sz w:val="16"/>
          <w:szCs w:val="16"/>
        </w:rPr>
        <w:t xml:space="preserve"> GmbH, 2011. , 159. </w:t>
      </w:r>
    </w:p>
  </w:footnote>
  <w:footnote w:id="6">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lásd</w:t>
      </w:r>
      <w:proofErr w:type="gramEnd"/>
      <w:r w:rsidRPr="000E4488">
        <w:rPr>
          <w:rFonts w:ascii="Times New Roman" w:hAnsi="Times New Roman" w:cs="Times New Roman"/>
          <w:sz w:val="16"/>
          <w:szCs w:val="16"/>
        </w:rPr>
        <w:t xml:space="preserve"> a hibás termékekért való felelősségre vonatkozó tagállami törvényi, rendeleti és közigazgatási rendelkezések közelítéséről szóló 85/374/EGK tanácsi irányelv módosításáról szóló 1999/34/EK irányelv</w:t>
      </w:r>
    </w:p>
  </w:footnote>
  <w:footnote w:id="7">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spellStart"/>
      <w:r w:rsidRPr="000E4488">
        <w:rPr>
          <w:rFonts w:ascii="Times New Roman" w:hAnsi="Times New Roman" w:cs="Times New Roman"/>
          <w:smallCaps/>
          <w:color w:val="000000"/>
          <w:sz w:val="16"/>
          <w:szCs w:val="16"/>
        </w:rPr>
        <w:t>Fézer</w:t>
      </w:r>
      <w:proofErr w:type="spellEnd"/>
      <w:r w:rsidRPr="000E4488">
        <w:rPr>
          <w:rFonts w:ascii="Times New Roman" w:hAnsi="Times New Roman" w:cs="Times New Roman"/>
          <w:color w:val="000000"/>
          <w:sz w:val="16"/>
          <w:szCs w:val="16"/>
        </w:rPr>
        <w:t xml:space="preserve"> Tamás – </w:t>
      </w:r>
      <w:r w:rsidRPr="000E4488">
        <w:rPr>
          <w:rFonts w:ascii="Times New Roman" w:hAnsi="Times New Roman" w:cs="Times New Roman"/>
          <w:smallCaps/>
          <w:color w:val="000000"/>
          <w:sz w:val="16"/>
          <w:szCs w:val="16"/>
        </w:rPr>
        <w:t>Joó</w:t>
      </w:r>
      <w:r w:rsidRPr="000E4488">
        <w:rPr>
          <w:rFonts w:ascii="Times New Roman" w:hAnsi="Times New Roman" w:cs="Times New Roman"/>
          <w:color w:val="000000"/>
          <w:sz w:val="16"/>
          <w:szCs w:val="16"/>
        </w:rPr>
        <w:t xml:space="preserve"> Imre: Termékbiztonság, termékfelelősség, szolgáltatások nyújtásának különös követelményei, </w:t>
      </w:r>
      <w:proofErr w:type="spellStart"/>
      <w:r w:rsidRPr="000E4488">
        <w:rPr>
          <w:rFonts w:ascii="Times New Roman" w:hAnsi="Times New Roman" w:cs="Times New Roman"/>
          <w:color w:val="000000"/>
          <w:sz w:val="16"/>
          <w:szCs w:val="16"/>
        </w:rPr>
        <w:t>In</w:t>
      </w:r>
      <w:proofErr w:type="spellEnd"/>
      <w:r w:rsidRPr="000E4488">
        <w:rPr>
          <w:rFonts w:ascii="Times New Roman" w:hAnsi="Times New Roman" w:cs="Times New Roman"/>
          <w:color w:val="000000"/>
          <w:sz w:val="16"/>
          <w:szCs w:val="16"/>
        </w:rPr>
        <w:t>: Magyar fogyasztóvédelmi magánjog - európai kitekintéssel, Szikora Veronika (szerk.), Center Print Nyomda, Debrecen, 2010., XIV. fejezet, 217-249.o.</w:t>
      </w:r>
    </w:p>
  </w:footnote>
  <w:footnote w:id="8">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lásd</w:t>
      </w:r>
      <w:proofErr w:type="gramEnd"/>
      <w:r w:rsidRPr="000E4488">
        <w:rPr>
          <w:rFonts w:ascii="Times New Roman" w:hAnsi="Times New Roman" w:cs="Times New Roman"/>
          <w:sz w:val="16"/>
          <w:szCs w:val="16"/>
        </w:rPr>
        <w:t xml:space="preserve"> irányelv 14. cikke</w:t>
      </w:r>
    </w:p>
  </w:footnote>
  <w:footnote w:id="9">
    <w:p w:rsidR="002613FC" w:rsidRPr="000E4488" w:rsidRDefault="002613FC" w:rsidP="002613FC">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A C</w:t>
      </w:r>
      <w:r w:rsidRPr="000E4488">
        <w:rPr>
          <w:rFonts w:ascii="Times New Roman" w:hAnsi="Times New Roman" w:cs="Times New Roman"/>
          <w:sz w:val="16"/>
          <w:szCs w:val="16"/>
        </w:rPr>
        <w:noBreakHyphen/>
        <w:t>503/13. és C</w:t>
      </w:r>
      <w:r w:rsidRPr="000E4488">
        <w:rPr>
          <w:rFonts w:ascii="Times New Roman" w:hAnsi="Times New Roman" w:cs="Times New Roman"/>
          <w:sz w:val="16"/>
          <w:szCs w:val="16"/>
        </w:rPr>
        <w:noBreakHyphen/>
        <w:t xml:space="preserve">504/13. sz. egyesített ügyekben rámutatott az Európai Bíróság, hogy az </w:t>
      </w:r>
      <w:r w:rsidRPr="000E4488">
        <w:rPr>
          <w:rFonts w:ascii="Times New Roman" w:hAnsi="Times New Roman" w:cs="Times New Roman"/>
          <w:bCs/>
          <w:sz w:val="16"/>
          <w:szCs w:val="16"/>
        </w:rPr>
        <w:t>irányelv 1. cikkét, valamint 9. cikke első mondatának a) pontját úgy kell értelmezni, hogy egy hibás termék – például szívritmus</w:t>
      </w:r>
      <w:r w:rsidRPr="000E4488">
        <w:rPr>
          <w:rFonts w:ascii="Times New Roman" w:hAnsi="Times New Roman" w:cs="Times New Roman"/>
          <w:bCs/>
          <w:sz w:val="16"/>
          <w:szCs w:val="16"/>
        </w:rPr>
        <w:noBreakHyphen/>
        <w:t xml:space="preserve">szabályozó, illetve beültethető </w:t>
      </w:r>
      <w:proofErr w:type="spellStart"/>
      <w:r w:rsidRPr="000E4488">
        <w:rPr>
          <w:rFonts w:ascii="Times New Roman" w:hAnsi="Times New Roman" w:cs="Times New Roman"/>
          <w:bCs/>
          <w:sz w:val="16"/>
          <w:szCs w:val="16"/>
        </w:rPr>
        <w:t>kardioverter</w:t>
      </w:r>
      <w:proofErr w:type="spellEnd"/>
      <w:r w:rsidRPr="000E4488">
        <w:rPr>
          <w:rFonts w:ascii="Times New Roman" w:hAnsi="Times New Roman" w:cs="Times New Roman"/>
          <w:bCs/>
          <w:sz w:val="16"/>
          <w:szCs w:val="16"/>
        </w:rPr>
        <w:t xml:space="preserve"> </w:t>
      </w:r>
      <w:proofErr w:type="spellStart"/>
      <w:r w:rsidRPr="000E4488">
        <w:rPr>
          <w:rFonts w:ascii="Times New Roman" w:hAnsi="Times New Roman" w:cs="Times New Roman"/>
          <w:bCs/>
          <w:sz w:val="16"/>
          <w:szCs w:val="16"/>
        </w:rPr>
        <w:t>defibrillátor</w:t>
      </w:r>
      <w:proofErr w:type="spellEnd"/>
      <w:r w:rsidRPr="000E4488">
        <w:rPr>
          <w:rFonts w:ascii="Times New Roman" w:hAnsi="Times New Roman" w:cs="Times New Roman"/>
          <w:bCs/>
          <w:sz w:val="16"/>
          <w:szCs w:val="16"/>
        </w:rPr>
        <w:t> – cseréjére irányuló sebészeti beavatkozás által okozott kár akkor minősül olyan, „halál vagy testi sérülés által okozott kárnak”, amelyért a gyártó felelős, ha ez a sebészeti beavatkozás az adott termék hibájának elhárításához szükséges.</w:t>
      </w:r>
      <w:proofErr w:type="gramEnd"/>
      <w:r w:rsidRPr="000E4488">
        <w:rPr>
          <w:rFonts w:ascii="Times New Roman" w:hAnsi="Times New Roman" w:cs="Times New Roman"/>
          <w:bCs/>
          <w:sz w:val="16"/>
          <w:szCs w:val="16"/>
        </w:rPr>
        <w:t xml:space="preserve"> </w:t>
      </w:r>
    </w:p>
  </w:footnote>
  <w:footnote w:id="10">
    <w:p w:rsidR="002613FC" w:rsidRPr="000E4488" w:rsidRDefault="002613FC" w:rsidP="002613FC">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Megjegyzendő, hogy az euró 1999-es bevezetésekor az új valuta árfolyamát 1 </w:t>
      </w:r>
      <w:proofErr w:type="spellStart"/>
      <w:r w:rsidRPr="000E4488">
        <w:rPr>
          <w:rFonts w:ascii="Times New Roman" w:hAnsi="Times New Roman" w:cs="Times New Roman"/>
          <w:sz w:val="16"/>
          <w:szCs w:val="16"/>
        </w:rPr>
        <w:t>ECU-ben</w:t>
      </w:r>
      <w:proofErr w:type="spellEnd"/>
      <w:r w:rsidRPr="000E4488">
        <w:rPr>
          <w:rFonts w:ascii="Times New Roman" w:hAnsi="Times New Roman" w:cs="Times New Roman"/>
          <w:sz w:val="16"/>
          <w:szCs w:val="16"/>
        </w:rPr>
        <w:t xml:space="preserve"> állapították meg, így a Ptk. normaszövegében szereplő 500 euró valójában megfelel az irányelv 9. cikk b) pontjában megjelölt 500 ECU értéknek.</w:t>
      </w:r>
    </w:p>
  </w:footnote>
  <w:footnote w:id="11">
    <w:p w:rsidR="002613FC" w:rsidRPr="000E4488" w:rsidRDefault="002613FC" w:rsidP="002613FC">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Megjegyzendő, hogy az összeg hazai viszonylatban magas volumene is oka lehet </w:t>
      </w:r>
      <w:r w:rsidRPr="000E4488">
        <w:rPr>
          <w:rFonts w:ascii="Times New Roman" w:hAnsi="Times New Roman" w:cs="Times New Roman"/>
          <w:color w:val="000000" w:themeColor="text1"/>
          <w:sz w:val="16"/>
          <w:szCs w:val="16"/>
        </w:rPr>
        <w:t>a kisszámú termékfelelősségre alapított pernek a hazai joggyakorlatban.</w:t>
      </w:r>
    </w:p>
  </w:footnote>
  <w:footnote w:id="12">
    <w:p w:rsidR="002613FC" w:rsidRPr="000E4488" w:rsidRDefault="002613FC" w:rsidP="002613FC">
      <w:pPr>
        <w:suppressAutoHyphens/>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A hazai szabályozás tükrében érdemes kiemelni, hogy ha a terméket további feldolgozás, beépítés céljából vásárolják meg és szállítják tovább, úgy a termékfelelősség szabályaira hivatkozva megalapozott kártérítési igény nem terjeszthető elő a gyártóval szemben (Debreceni Ítélőtábla </w:t>
      </w:r>
      <w:proofErr w:type="spellStart"/>
      <w:r w:rsidRPr="000E4488">
        <w:rPr>
          <w:rFonts w:ascii="Times New Roman" w:hAnsi="Times New Roman" w:cs="Times New Roman"/>
          <w:sz w:val="16"/>
          <w:szCs w:val="16"/>
        </w:rPr>
        <w:t>Gf</w:t>
      </w:r>
      <w:proofErr w:type="spellEnd"/>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III. 30.404/2009/9.).Az Európai Bíróság a C</w:t>
      </w:r>
      <w:r w:rsidRPr="000E4488">
        <w:rPr>
          <w:rFonts w:ascii="Times New Roman" w:hAnsi="Times New Roman" w:cs="Times New Roman"/>
          <w:sz w:val="16"/>
          <w:szCs w:val="16"/>
        </w:rPr>
        <w:noBreakHyphen/>
        <w:t xml:space="preserve">285/08. számú </w:t>
      </w:r>
      <w:proofErr w:type="spellStart"/>
      <w:r w:rsidRPr="000E4488">
        <w:rPr>
          <w:rFonts w:ascii="Times New Roman" w:hAnsi="Times New Roman" w:cs="Times New Roman"/>
          <w:sz w:val="16"/>
          <w:szCs w:val="16"/>
        </w:rPr>
        <w:t>Moteurs</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Leroy</w:t>
      </w:r>
      <w:proofErr w:type="spellEnd"/>
      <w:r w:rsidRPr="000E4488">
        <w:rPr>
          <w:rFonts w:ascii="Times New Roman" w:hAnsi="Times New Roman" w:cs="Times New Roman"/>
          <w:sz w:val="16"/>
          <w:szCs w:val="16"/>
        </w:rPr>
        <w:t xml:space="preserve"> </w:t>
      </w:r>
      <w:proofErr w:type="spellStart"/>
      <w:r w:rsidRPr="000E4488">
        <w:rPr>
          <w:rFonts w:ascii="Times New Roman" w:hAnsi="Times New Roman" w:cs="Times New Roman"/>
          <w:sz w:val="16"/>
          <w:szCs w:val="16"/>
        </w:rPr>
        <w:t>Somer</w:t>
      </w:r>
      <w:proofErr w:type="spellEnd"/>
      <w:r w:rsidRPr="000E4488">
        <w:rPr>
          <w:rFonts w:ascii="Times New Roman" w:hAnsi="Times New Roman" w:cs="Times New Roman"/>
          <w:sz w:val="16"/>
          <w:szCs w:val="16"/>
        </w:rPr>
        <w:t xml:space="preserve"> kontra </w:t>
      </w:r>
      <w:proofErr w:type="spellStart"/>
      <w:r w:rsidRPr="000E4488">
        <w:rPr>
          <w:rFonts w:ascii="Times New Roman" w:hAnsi="Times New Roman" w:cs="Times New Roman"/>
          <w:sz w:val="16"/>
          <w:szCs w:val="16"/>
        </w:rPr>
        <w:t>Dalkia</w:t>
      </w:r>
      <w:proofErr w:type="spellEnd"/>
      <w:r w:rsidRPr="000E4488">
        <w:rPr>
          <w:rFonts w:ascii="Times New Roman" w:hAnsi="Times New Roman" w:cs="Times New Roman"/>
          <w:sz w:val="16"/>
          <w:szCs w:val="16"/>
        </w:rPr>
        <w:t xml:space="preserve"> France, valamint </w:t>
      </w:r>
      <w:proofErr w:type="spellStart"/>
      <w:r w:rsidRPr="000E4488">
        <w:rPr>
          <w:rFonts w:ascii="Times New Roman" w:hAnsi="Times New Roman" w:cs="Times New Roman"/>
          <w:sz w:val="16"/>
          <w:szCs w:val="16"/>
        </w:rPr>
        <w:t>Ace</w:t>
      </w:r>
      <w:proofErr w:type="spellEnd"/>
      <w:r w:rsidRPr="000E4488">
        <w:rPr>
          <w:rFonts w:ascii="Times New Roman" w:hAnsi="Times New Roman" w:cs="Times New Roman"/>
          <w:sz w:val="16"/>
          <w:szCs w:val="16"/>
        </w:rPr>
        <w:t xml:space="preserve"> Europe ügyben kifejtette, hogy az irányelv szövegében semmi nem enged arra következtetni, hogy a közösségi jogalkotó azzal, hogy ezen irányelv alapján a dologban okozott károkat a személyes használatra vagy fogyasztásra szolgáló dolgokra korlátozta, a torzulástól mentes verseny biztosításának és az áruk szabad mozgása elősegítésének céljával meg kívánta volna fosztani a tagállamokat attól a lehetőségtől, hogy a szakmai használatra szánt és e körben használt dologban bekövetkezett károk</w:t>
      </w:r>
      <w:proofErr w:type="gramEnd"/>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megtérítésére</w:t>
      </w:r>
      <w:proofErr w:type="gramEnd"/>
      <w:r w:rsidRPr="000E4488">
        <w:rPr>
          <w:rFonts w:ascii="Times New Roman" w:hAnsi="Times New Roman" w:cs="Times New Roman"/>
          <w:sz w:val="16"/>
          <w:szCs w:val="16"/>
        </w:rPr>
        <w:t xml:space="preserve"> vonatkozásában olyan felelősségi rendszert állapítsanak meg, amely megfelel az említett irányelv által létrehozottnak. </w:t>
      </w:r>
      <w:r w:rsidRPr="000E4488">
        <w:rPr>
          <w:rFonts w:ascii="Times New Roman" w:hAnsi="Times New Roman" w:cs="Times New Roman"/>
          <w:color w:val="000000" w:themeColor="text1"/>
          <w:sz w:val="16"/>
          <w:szCs w:val="16"/>
        </w:rPr>
        <w:t xml:space="preserve">Emiatt az </w:t>
      </w:r>
      <w:r w:rsidRPr="000E4488">
        <w:rPr>
          <w:rFonts w:ascii="Times New Roman" w:hAnsi="Times New Roman" w:cs="Times New Roman"/>
          <w:bCs/>
          <w:sz w:val="16"/>
          <w:szCs w:val="16"/>
        </w:rPr>
        <w:t>irányelvet úgy kell értelmezni, hogy azzal nem ellentétes a nemzeti jog vagy a belső állandó ítélkezési gyakorlat olyan értelmezése, amely lehetővé teszi a károsult számára, hogy kártérítést igényeljen a szakmai használatra szánt és e körben használt dologban bekövetkezett kár után, amennyiben a károsult kizárólag a kárt, a termék hibáját, valamint e hiba és a kár közötti okozati összefüggést bizonyítja.</w:t>
      </w:r>
    </w:p>
  </w:footnote>
  <w:footnote w:id="13">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Az irányelv fogalomhasználatával élve „ésszerű időn belül” időtartamot a magyar jogalkotó tehát 30 napban határozta meg.</w:t>
      </w:r>
    </w:p>
  </w:footnote>
  <w:footnote w:id="14">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napToGrid w:val="0"/>
          <w:color w:val="000000" w:themeColor="text1"/>
          <w:sz w:val="16"/>
          <w:szCs w:val="16"/>
        </w:rPr>
        <w:t xml:space="preserve"> Ebből következik az is, hogy egyes termék használata a szokásosnál nagyobb kockázattal jár, így külön tájékoztatás hiányában sem lehet hibásnak minősíteni azt a terméket, amely egyébként valamilyen közismert kockázatot hordoz magában.</w:t>
      </w:r>
    </w:p>
  </w:footnote>
  <w:footnote w:id="15">
    <w:p w:rsidR="00D04905" w:rsidRPr="000E4488" w:rsidRDefault="00D04905" w:rsidP="00133427">
      <w:pPr>
        <w:ind w:left="12" w:right="52"/>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napToGrid w:val="0"/>
          <w:color w:val="000000" w:themeColor="text1"/>
          <w:sz w:val="16"/>
          <w:szCs w:val="16"/>
        </w:rPr>
        <w:t xml:space="preserve"> Ezen szempontok vizsgálata során jellemzően a termékhiba megállapítása szakértői ismereteket igényel.</w:t>
      </w:r>
    </w:p>
  </w:footnote>
  <w:footnote w:id="16">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Az előző jogesettől eltérően nyilván itt nem </w:t>
      </w:r>
      <w:r w:rsidRPr="000E4488">
        <w:rPr>
          <w:rFonts w:ascii="Times New Roman" w:hAnsi="Times New Roman" w:cs="Times New Roman"/>
          <w:bCs/>
          <w:sz w:val="16"/>
          <w:szCs w:val="16"/>
        </w:rPr>
        <w:t xml:space="preserve">az irányelvben előírt és a gyártót terhelő objektív felelősségről van szó, a szolgáltatásnyújtó felelőssége ugyanis eleve </w:t>
      </w:r>
      <w:r w:rsidRPr="000E4488">
        <w:rPr>
          <w:rFonts w:ascii="Times New Roman" w:hAnsi="Times New Roman" w:cs="Times New Roman"/>
          <w:sz w:val="16"/>
          <w:szCs w:val="16"/>
        </w:rPr>
        <w:t>nem tartozik az irányelv hatálya alá.</w:t>
      </w:r>
    </w:p>
  </w:footnote>
  <w:footnote w:id="17">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lásd</w:t>
      </w:r>
      <w:proofErr w:type="gramEnd"/>
      <w:r w:rsidRPr="000E4488">
        <w:rPr>
          <w:rFonts w:ascii="Times New Roman" w:hAnsi="Times New Roman" w:cs="Times New Roman"/>
          <w:sz w:val="16"/>
          <w:szCs w:val="16"/>
        </w:rPr>
        <w:t xml:space="preserve"> Ptk. 6:5</w:t>
      </w:r>
      <w:r>
        <w:rPr>
          <w:rFonts w:ascii="Times New Roman" w:hAnsi="Times New Roman" w:cs="Times New Roman"/>
          <w:sz w:val="16"/>
          <w:szCs w:val="16"/>
        </w:rPr>
        <w:t>1</w:t>
      </w:r>
      <w:r w:rsidRPr="000E4488">
        <w:rPr>
          <w:rFonts w:ascii="Times New Roman" w:hAnsi="Times New Roman" w:cs="Times New Roman"/>
          <w:sz w:val="16"/>
          <w:szCs w:val="16"/>
        </w:rPr>
        <w:t xml:space="preserve">9. § </w:t>
      </w:r>
    </w:p>
  </w:footnote>
  <w:footnote w:id="18">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r w:rsidRPr="000E4488">
        <w:rPr>
          <w:rFonts w:ascii="Times New Roman" w:hAnsi="Times New Roman" w:cs="Times New Roman"/>
          <w:snapToGrid w:val="0"/>
          <w:color w:val="000000" w:themeColor="text1"/>
          <w:sz w:val="16"/>
          <w:szCs w:val="16"/>
        </w:rPr>
        <w:t xml:space="preserve">Ez lényegét tekintve nem más, mint a fejlesztési kockázatok fogyasztókra történő hárítása; amely az irányelv 15. cikk (1) bekezdésének </w:t>
      </w:r>
      <w:r w:rsidRPr="000E4488">
        <w:rPr>
          <w:rFonts w:ascii="Times New Roman" w:hAnsi="Times New Roman" w:cs="Times New Roman"/>
          <w:sz w:val="16"/>
          <w:szCs w:val="16"/>
        </w:rPr>
        <w:t>b) pontjában foglalt felhatalmazáson alapul.</w:t>
      </w:r>
    </w:p>
  </w:footnote>
  <w:footnote w:id="19">
    <w:p w:rsidR="00D04905" w:rsidRPr="000E4488" w:rsidRDefault="00D04905">
      <w:pPr>
        <w:pStyle w:val="Lbjegyzetszveg"/>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lásd</w:t>
      </w:r>
      <w:proofErr w:type="gramEnd"/>
      <w:r w:rsidRPr="000E4488">
        <w:rPr>
          <w:rFonts w:ascii="Times New Roman" w:hAnsi="Times New Roman" w:cs="Times New Roman"/>
          <w:sz w:val="16"/>
          <w:szCs w:val="16"/>
        </w:rPr>
        <w:t xml:space="preserve"> Ptk. 6:555. § (3) bekezdése</w:t>
      </w:r>
    </w:p>
  </w:footnote>
  <w:footnote w:id="20">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Kérdéses, hogy ez az értelmezés mennyiben feleltethető meg az irányelv 5. cikkében foglaltaknak, amely </w:t>
      </w:r>
      <w:proofErr w:type="gramStart"/>
      <w:r w:rsidRPr="000E4488">
        <w:rPr>
          <w:rFonts w:ascii="Times New Roman" w:hAnsi="Times New Roman" w:cs="Times New Roman"/>
          <w:sz w:val="16"/>
          <w:szCs w:val="16"/>
        </w:rPr>
        <w:t>szerint</w:t>
      </w:r>
      <w:proofErr w:type="gramEnd"/>
      <w:r w:rsidRPr="000E4488">
        <w:rPr>
          <w:rFonts w:ascii="Times New Roman" w:hAnsi="Times New Roman" w:cs="Times New Roman"/>
          <w:sz w:val="16"/>
          <w:szCs w:val="16"/>
        </w:rPr>
        <w:t xml:space="preserve"> ha az irányelv rendelkezéseinek következtében több személy felelős ugyanazért a kárért, úgy felelősségük egyetemleges, a vonatkozó nemzeti jogszabályok igényérvényesítésre vonatkozó rendelkezéseinek sérelme nélkül.</w:t>
      </w:r>
    </w:p>
  </w:footnote>
  <w:footnote w:id="21">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w:t>
      </w:r>
      <w:proofErr w:type="gramStart"/>
      <w:r w:rsidRPr="000E4488">
        <w:rPr>
          <w:rFonts w:ascii="Times New Roman" w:hAnsi="Times New Roman" w:cs="Times New Roman"/>
          <w:sz w:val="16"/>
          <w:szCs w:val="16"/>
        </w:rPr>
        <w:t>lásd</w:t>
      </w:r>
      <w:proofErr w:type="gramEnd"/>
      <w:r w:rsidRPr="000E4488">
        <w:rPr>
          <w:rFonts w:ascii="Times New Roman" w:hAnsi="Times New Roman" w:cs="Times New Roman"/>
          <w:sz w:val="16"/>
          <w:szCs w:val="16"/>
        </w:rPr>
        <w:t xml:space="preserve"> Ptk. 6:559. § (1) bekezdése</w:t>
      </w:r>
    </w:p>
  </w:footnote>
  <w:footnote w:id="22">
    <w:p w:rsidR="00D04905" w:rsidRPr="000E4488" w:rsidRDefault="00D04905" w:rsidP="00133427">
      <w:pPr>
        <w:pStyle w:val="Lbjegyzetszveg"/>
        <w:jc w:val="both"/>
        <w:rPr>
          <w:rFonts w:ascii="Times New Roman" w:hAnsi="Times New Roman" w:cs="Times New Roman"/>
          <w:sz w:val="16"/>
          <w:szCs w:val="16"/>
        </w:rPr>
      </w:pPr>
      <w:r w:rsidRPr="000E4488">
        <w:rPr>
          <w:rStyle w:val="Lbjegyzet-hivatkozs"/>
          <w:rFonts w:ascii="Times New Roman" w:hAnsi="Times New Roman" w:cs="Times New Roman"/>
          <w:sz w:val="16"/>
          <w:szCs w:val="16"/>
        </w:rPr>
        <w:footnoteRef/>
      </w:r>
      <w:r w:rsidRPr="000E4488">
        <w:rPr>
          <w:rFonts w:ascii="Times New Roman" w:hAnsi="Times New Roman" w:cs="Times New Roman"/>
          <w:sz w:val="16"/>
          <w:szCs w:val="16"/>
        </w:rPr>
        <w:t xml:space="preserve"> Az irányelv nem érinti a károsultnak a szerződéses vagy szerződésen kívüli vagy egy, az ezen irányelvről szóló értesítés időpontjában fennálló különös felelősségi rendelkezések alapján fennálló igényét. Ilyen különös felelősségi rendelkezésként volt például az Európai Bíróság előtt folyamatban volt C</w:t>
      </w:r>
      <w:r w:rsidRPr="000E4488">
        <w:rPr>
          <w:rFonts w:ascii="Times New Roman" w:hAnsi="Times New Roman" w:cs="Times New Roman"/>
          <w:sz w:val="16"/>
          <w:szCs w:val="16"/>
        </w:rPr>
        <w:noBreakHyphen/>
        <w:t xml:space="preserve">310/13. számú Novo </w:t>
      </w:r>
      <w:proofErr w:type="spellStart"/>
      <w:r w:rsidRPr="000E4488">
        <w:rPr>
          <w:rFonts w:ascii="Times New Roman" w:hAnsi="Times New Roman" w:cs="Times New Roman"/>
          <w:sz w:val="16"/>
          <w:szCs w:val="16"/>
        </w:rPr>
        <w:t>Nordisk</w:t>
      </w:r>
      <w:proofErr w:type="spellEnd"/>
      <w:r w:rsidRPr="000E4488">
        <w:rPr>
          <w:rFonts w:ascii="Times New Roman" w:hAnsi="Times New Roman" w:cs="Times New Roman"/>
          <w:sz w:val="16"/>
          <w:szCs w:val="16"/>
        </w:rPr>
        <w:t xml:space="preserve"> Pharma GmbH kontra S. </w:t>
      </w:r>
      <w:proofErr w:type="gramStart"/>
      <w:r w:rsidRPr="000E4488">
        <w:rPr>
          <w:rFonts w:ascii="Times New Roman" w:hAnsi="Times New Roman" w:cs="Times New Roman"/>
          <w:sz w:val="16"/>
          <w:szCs w:val="16"/>
        </w:rPr>
        <w:t>ügyben</w:t>
      </w:r>
      <w:proofErr w:type="gramEnd"/>
      <w:r w:rsidRPr="000E4488">
        <w:rPr>
          <w:rFonts w:ascii="Times New Roman" w:hAnsi="Times New Roman" w:cs="Times New Roman"/>
          <w:sz w:val="16"/>
          <w:szCs w:val="16"/>
        </w:rPr>
        <w:t xml:space="preserve"> az a rendelkezés, amely szerint </w:t>
      </w:r>
      <w:r w:rsidRPr="000E4488">
        <w:rPr>
          <w:rFonts w:ascii="Times New Roman" w:hAnsi="Times New Roman" w:cs="Times New Roman"/>
          <w:bCs/>
          <w:sz w:val="16"/>
          <w:szCs w:val="16"/>
        </w:rPr>
        <w:t>a fogyasztónak jogában áll a gyógyszerkészítmény gyártójától tájékoztatást kérni e készítmény mellékhatásait érintően.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88"/>
    <w:multiLevelType w:val="hybridMultilevel"/>
    <w:tmpl w:val="A6744AE4"/>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1">
    <w:nsid w:val="02E667D9"/>
    <w:multiLevelType w:val="hybridMultilevel"/>
    <w:tmpl w:val="9C226D6E"/>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2">
    <w:nsid w:val="046D71B6"/>
    <w:multiLevelType w:val="hybridMultilevel"/>
    <w:tmpl w:val="56E64BBA"/>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3">
    <w:nsid w:val="0DA23284"/>
    <w:multiLevelType w:val="hybridMultilevel"/>
    <w:tmpl w:val="9EC22A40"/>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112973EA"/>
    <w:multiLevelType w:val="hybridMultilevel"/>
    <w:tmpl w:val="33C8F4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1E2A98"/>
    <w:multiLevelType w:val="hybridMultilevel"/>
    <w:tmpl w:val="6CC2EE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F870D0"/>
    <w:multiLevelType w:val="hybridMultilevel"/>
    <w:tmpl w:val="47FE4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1E7C10"/>
    <w:multiLevelType w:val="hybridMultilevel"/>
    <w:tmpl w:val="13166EE6"/>
    <w:lvl w:ilvl="0" w:tplc="7E529EFE">
      <w:start w:val="1"/>
      <w:numFmt w:val="decimal"/>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abstractNum w:abstractNumId="8">
    <w:nsid w:val="20F455CD"/>
    <w:multiLevelType w:val="hybridMultilevel"/>
    <w:tmpl w:val="E8E8A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113E01"/>
    <w:multiLevelType w:val="hybridMultilevel"/>
    <w:tmpl w:val="BCBE5B86"/>
    <w:lvl w:ilvl="0" w:tplc="D65E7248">
      <w:start w:val="1"/>
      <w:numFmt w:val="bullet"/>
      <w:lvlText w:val=""/>
      <w:lvlJc w:val="left"/>
      <w:pPr>
        <w:ind w:left="720" w:hanging="360"/>
      </w:pPr>
      <w:rPr>
        <w:rFonts w:ascii="Symbol" w:hAnsi="Symbol" w:hint="default"/>
        <w:sz w:val="20"/>
        <w:szCs w:val="2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7103A1"/>
    <w:multiLevelType w:val="multilevel"/>
    <w:tmpl w:val="BD5872E2"/>
    <w:lvl w:ilvl="0">
      <w:start w:val="1"/>
      <w:numFmt w:val="decimal"/>
      <w:lvlText w:val="%1."/>
      <w:lvlJc w:val="left"/>
      <w:pPr>
        <w:ind w:left="360" w:hanging="360"/>
      </w:pPr>
      <w:rPr>
        <w:rFonts w:ascii="Times" w:hAnsi="Times" w:cs="Times" w:hint="default"/>
        <w:color w:val="000000"/>
      </w:rPr>
    </w:lvl>
    <w:lvl w:ilvl="1">
      <w:start w:val="1"/>
      <w:numFmt w:val="decimal"/>
      <w:lvlText w:val="%1.%2."/>
      <w:lvlJc w:val="left"/>
      <w:pPr>
        <w:ind w:left="360" w:hanging="360"/>
      </w:pPr>
      <w:rPr>
        <w:rFonts w:ascii="Times" w:hAnsi="Times" w:cs="Times" w:hint="default"/>
        <w:color w:val="000000"/>
      </w:rPr>
    </w:lvl>
    <w:lvl w:ilvl="2">
      <w:start w:val="1"/>
      <w:numFmt w:val="decimal"/>
      <w:lvlText w:val="%1.%2.%3."/>
      <w:lvlJc w:val="left"/>
      <w:pPr>
        <w:ind w:left="720" w:hanging="720"/>
      </w:pPr>
      <w:rPr>
        <w:rFonts w:ascii="Times" w:hAnsi="Times" w:cs="Times" w:hint="default"/>
        <w:color w:val="000000"/>
      </w:rPr>
    </w:lvl>
    <w:lvl w:ilvl="3">
      <w:start w:val="1"/>
      <w:numFmt w:val="decimal"/>
      <w:lvlText w:val="%1.%2.%3.%4."/>
      <w:lvlJc w:val="left"/>
      <w:pPr>
        <w:ind w:left="720" w:hanging="720"/>
      </w:pPr>
      <w:rPr>
        <w:rFonts w:ascii="Times" w:hAnsi="Times" w:cs="Times" w:hint="default"/>
        <w:color w:val="000000"/>
      </w:rPr>
    </w:lvl>
    <w:lvl w:ilvl="4">
      <w:start w:val="1"/>
      <w:numFmt w:val="decimal"/>
      <w:lvlText w:val="%1.%2.%3.%4.%5."/>
      <w:lvlJc w:val="left"/>
      <w:pPr>
        <w:ind w:left="1080" w:hanging="1080"/>
      </w:pPr>
      <w:rPr>
        <w:rFonts w:ascii="Times" w:hAnsi="Times" w:cs="Times" w:hint="default"/>
        <w:color w:val="000000"/>
      </w:rPr>
    </w:lvl>
    <w:lvl w:ilvl="5">
      <w:start w:val="1"/>
      <w:numFmt w:val="decimal"/>
      <w:lvlText w:val="%1.%2.%3.%4.%5.%6."/>
      <w:lvlJc w:val="left"/>
      <w:pPr>
        <w:ind w:left="1080" w:hanging="1080"/>
      </w:pPr>
      <w:rPr>
        <w:rFonts w:ascii="Times" w:hAnsi="Times" w:cs="Times" w:hint="default"/>
        <w:color w:val="000000"/>
      </w:rPr>
    </w:lvl>
    <w:lvl w:ilvl="6">
      <w:start w:val="1"/>
      <w:numFmt w:val="decimal"/>
      <w:lvlText w:val="%1.%2.%3.%4.%5.%6.%7."/>
      <w:lvlJc w:val="left"/>
      <w:pPr>
        <w:ind w:left="1080" w:hanging="1080"/>
      </w:pPr>
      <w:rPr>
        <w:rFonts w:ascii="Times" w:hAnsi="Times" w:cs="Times" w:hint="default"/>
        <w:color w:val="000000"/>
      </w:rPr>
    </w:lvl>
    <w:lvl w:ilvl="7">
      <w:start w:val="1"/>
      <w:numFmt w:val="decimal"/>
      <w:lvlText w:val="%1.%2.%3.%4.%5.%6.%7.%8."/>
      <w:lvlJc w:val="left"/>
      <w:pPr>
        <w:ind w:left="1440" w:hanging="1440"/>
      </w:pPr>
      <w:rPr>
        <w:rFonts w:ascii="Times" w:hAnsi="Times" w:cs="Times" w:hint="default"/>
        <w:color w:val="000000"/>
      </w:rPr>
    </w:lvl>
    <w:lvl w:ilvl="8">
      <w:start w:val="1"/>
      <w:numFmt w:val="decimal"/>
      <w:lvlText w:val="%1.%2.%3.%4.%5.%6.%7.%8.%9."/>
      <w:lvlJc w:val="left"/>
      <w:pPr>
        <w:ind w:left="1440" w:hanging="1440"/>
      </w:pPr>
      <w:rPr>
        <w:rFonts w:ascii="Times" w:hAnsi="Times" w:cs="Times" w:hint="default"/>
        <w:color w:val="000000"/>
      </w:rPr>
    </w:lvl>
  </w:abstractNum>
  <w:abstractNum w:abstractNumId="11">
    <w:nsid w:val="2C877888"/>
    <w:multiLevelType w:val="hybridMultilevel"/>
    <w:tmpl w:val="95660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9508CA"/>
    <w:multiLevelType w:val="hybridMultilevel"/>
    <w:tmpl w:val="62863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7C61EB"/>
    <w:multiLevelType w:val="hybridMultilevel"/>
    <w:tmpl w:val="1C3454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08B07C3"/>
    <w:multiLevelType w:val="hybridMultilevel"/>
    <w:tmpl w:val="029C7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2191FB3"/>
    <w:multiLevelType w:val="hybridMultilevel"/>
    <w:tmpl w:val="9326A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C9347C"/>
    <w:multiLevelType w:val="hybridMultilevel"/>
    <w:tmpl w:val="681426C4"/>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17">
    <w:nsid w:val="35FA76F7"/>
    <w:multiLevelType w:val="hybridMultilevel"/>
    <w:tmpl w:val="5D7A8D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9A2EFD"/>
    <w:multiLevelType w:val="hybridMultilevel"/>
    <w:tmpl w:val="C3540402"/>
    <w:lvl w:ilvl="0" w:tplc="040E0001">
      <w:start w:val="1"/>
      <w:numFmt w:val="bullet"/>
      <w:lvlText w:val=""/>
      <w:lvlJc w:val="left"/>
      <w:pPr>
        <w:ind w:left="732" w:hanging="360"/>
      </w:pPr>
      <w:rPr>
        <w:rFonts w:ascii="Symbol" w:hAnsi="Symbol" w:hint="default"/>
      </w:rPr>
    </w:lvl>
    <w:lvl w:ilvl="1" w:tplc="040E0003">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19">
    <w:nsid w:val="393D272F"/>
    <w:multiLevelType w:val="hybridMultilevel"/>
    <w:tmpl w:val="04C2ED34"/>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20">
    <w:nsid w:val="3D911916"/>
    <w:multiLevelType w:val="hybridMultilevel"/>
    <w:tmpl w:val="3CD28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69C0889"/>
    <w:multiLevelType w:val="multilevel"/>
    <w:tmpl w:val="2D52FE9C"/>
    <w:lvl w:ilvl="0">
      <w:start w:val="2"/>
      <w:numFmt w:val="decimal"/>
      <w:lvlText w:val="%1."/>
      <w:lvlJc w:val="left"/>
      <w:pPr>
        <w:ind w:left="360" w:hanging="360"/>
      </w:pPr>
      <w:rPr>
        <w:rFonts w:ascii="Times" w:hAnsi="Times" w:cs="Times" w:hint="default"/>
        <w:color w:val="000000"/>
      </w:rPr>
    </w:lvl>
    <w:lvl w:ilvl="1">
      <w:start w:val="1"/>
      <w:numFmt w:val="decimal"/>
      <w:lvlText w:val="%1.%2."/>
      <w:lvlJc w:val="left"/>
      <w:pPr>
        <w:ind w:left="360" w:hanging="360"/>
      </w:pPr>
      <w:rPr>
        <w:rFonts w:ascii="Times" w:hAnsi="Times" w:cs="Times" w:hint="default"/>
        <w:color w:val="000000"/>
      </w:rPr>
    </w:lvl>
    <w:lvl w:ilvl="2">
      <w:start w:val="1"/>
      <w:numFmt w:val="decimal"/>
      <w:lvlText w:val="%1.%2.%3."/>
      <w:lvlJc w:val="left"/>
      <w:pPr>
        <w:ind w:left="720" w:hanging="720"/>
      </w:pPr>
      <w:rPr>
        <w:rFonts w:ascii="Times" w:hAnsi="Times" w:cs="Times" w:hint="default"/>
        <w:color w:val="000000"/>
      </w:rPr>
    </w:lvl>
    <w:lvl w:ilvl="3">
      <w:start w:val="1"/>
      <w:numFmt w:val="decimal"/>
      <w:lvlText w:val="%1.%2.%3.%4."/>
      <w:lvlJc w:val="left"/>
      <w:pPr>
        <w:ind w:left="720" w:hanging="720"/>
      </w:pPr>
      <w:rPr>
        <w:rFonts w:ascii="Times" w:hAnsi="Times" w:cs="Times" w:hint="default"/>
        <w:color w:val="000000"/>
      </w:rPr>
    </w:lvl>
    <w:lvl w:ilvl="4">
      <w:start w:val="1"/>
      <w:numFmt w:val="decimal"/>
      <w:lvlText w:val="%1.%2.%3.%4.%5."/>
      <w:lvlJc w:val="left"/>
      <w:pPr>
        <w:ind w:left="1080" w:hanging="1080"/>
      </w:pPr>
      <w:rPr>
        <w:rFonts w:ascii="Times" w:hAnsi="Times" w:cs="Times" w:hint="default"/>
        <w:color w:val="000000"/>
      </w:rPr>
    </w:lvl>
    <w:lvl w:ilvl="5">
      <w:start w:val="1"/>
      <w:numFmt w:val="decimal"/>
      <w:lvlText w:val="%1.%2.%3.%4.%5.%6."/>
      <w:lvlJc w:val="left"/>
      <w:pPr>
        <w:ind w:left="1080" w:hanging="1080"/>
      </w:pPr>
      <w:rPr>
        <w:rFonts w:ascii="Times" w:hAnsi="Times" w:cs="Times" w:hint="default"/>
        <w:color w:val="000000"/>
      </w:rPr>
    </w:lvl>
    <w:lvl w:ilvl="6">
      <w:start w:val="1"/>
      <w:numFmt w:val="decimal"/>
      <w:lvlText w:val="%1.%2.%3.%4.%5.%6.%7."/>
      <w:lvlJc w:val="left"/>
      <w:pPr>
        <w:ind w:left="1080" w:hanging="1080"/>
      </w:pPr>
      <w:rPr>
        <w:rFonts w:ascii="Times" w:hAnsi="Times" w:cs="Times" w:hint="default"/>
        <w:color w:val="000000"/>
      </w:rPr>
    </w:lvl>
    <w:lvl w:ilvl="7">
      <w:start w:val="1"/>
      <w:numFmt w:val="decimal"/>
      <w:lvlText w:val="%1.%2.%3.%4.%5.%6.%7.%8."/>
      <w:lvlJc w:val="left"/>
      <w:pPr>
        <w:ind w:left="1440" w:hanging="1440"/>
      </w:pPr>
      <w:rPr>
        <w:rFonts w:ascii="Times" w:hAnsi="Times" w:cs="Times" w:hint="default"/>
        <w:color w:val="000000"/>
      </w:rPr>
    </w:lvl>
    <w:lvl w:ilvl="8">
      <w:start w:val="1"/>
      <w:numFmt w:val="decimal"/>
      <w:lvlText w:val="%1.%2.%3.%4.%5.%6.%7.%8.%9."/>
      <w:lvlJc w:val="left"/>
      <w:pPr>
        <w:ind w:left="1440" w:hanging="1440"/>
      </w:pPr>
      <w:rPr>
        <w:rFonts w:ascii="Times" w:hAnsi="Times" w:cs="Times" w:hint="default"/>
        <w:color w:val="000000"/>
      </w:rPr>
    </w:lvl>
  </w:abstractNum>
  <w:abstractNum w:abstractNumId="22">
    <w:nsid w:val="46DE026B"/>
    <w:multiLevelType w:val="hybridMultilevel"/>
    <w:tmpl w:val="F2AEADC8"/>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23">
    <w:nsid w:val="47902E42"/>
    <w:multiLevelType w:val="multilevel"/>
    <w:tmpl w:val="7E2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B6716"/>
    <w:multiLevelType w:val="hybridMultilevel"/>
    <w:tmpl w:val="B1D82A38"/>
    <w:lvl w:ilvl="0" w:tplc="20FA9CC2">
      <w:start w:val="1"/>
      <w:numFmt w:val="bullet"/>
      <w:lvlText w:val=""/>
      <w:lvlJc w:val="left"/>
      <w:pPr>
        <w:ind w:left="720" w:hanging="360"/>
      </w:pPr>
      <w:rPr>
        <w:rFonts w:ascii="Palatino Linotype" w:hAnsi="Palatino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F0773E4"/>
    <w:multiLevelType w:val="multilevel"/>
    <w:tmpl w:val="7E2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93C57"/>
    <w:multiLevelType w:val="hybridMultilevel"/>
    <w:tmpl w:val="304A172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37B5F52"/>
    <w:multiLevelType w:val="multilevel"/>
    <w:tmpl w:val="40BAAE04"/>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8">
    <w:nsid w:val="56747807"/>
    <w:multiLevelType w:val="hybridMultilevel"/>
    <w:tmpl w:val="ECA65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6FA0598"/>
    <w:multiLevelType w:val="hybridMultilevel"/>
    <w:tmpl w:val="8FBEEACC"/>
    <w:lvl w:ilvl="0" w:tplc="040E0001">
      <w:start w:val="1"/>
      <w:numFmt w:val="bullet"/>
      <w:lvlText w:val=""/>
      <w:lvlJc w:val="left"/>
      <w:pPr>
        <w:ind w:left="732" w:hanging="360"/>
      </w:pPr>
      <w:rPr>
        <w:rFonts w:ascii="Symbol" w:hAnsi="Symbol" w:hint="default"/>
      </w:rPr>
    </w:lvl>
    <w:lvl w:ilvl="1" w:tplc="040E0003">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30">
    <w:nsid w:val="625E7CDA"/>
    <w:multiLevelType w:val="hybridMultilevel"/>
    <w:tmpl w:val="1DA826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66B87E7E"/>
    <w:multiLevelType w:val="hybridMultilevel"/>
    <w:tmpl w:val="1A629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B00E74"/>
    <w:multiLevelType w:val="hybridMultilevel"/>
    <w:tmpl w:val="1676F6EA"/>
    <w:lvl w:ilvl="0" w:tplc="D65E7248">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068" w:hanging="360"/>
      </w:pPr>
      <w:rPr>
        <w:rFonts w:ascii="Courier New" w:hAnsi="Courier New" w:cs="Courier New" w:hint="default"/>
      </w:rPr>
    </w:lvl>
    <w:lvl w:ilvl="2" w:tplc="040E0005" w:tentative="1">
      <w:start w:val="1"/>
      <w:numFmt w:val="bullet"/>
      <w:lvlText w:val=""/>
      <w:lvlJc w:val="left"/>
      <w:pPr>
        <w:ind w:left="1788" w:hanging="360"/>
      </w:pPr>
      <w:rPr>
        <w:rFonts w:ascii="Wingdings" w:hAnsi="Wingdings" w:hint="default"/>
      </w:rPr>
    </w:lvl>
    <w:lvl w:ilvl="3" w:tplc="040E0001" w:tentative="1">
      <w:start w:val="1"/>
      <w:numFmt w:val="bullet"/>
      <w:lvlText w:val=""/>
      <w:lvlJc w:val="left"/>
      <w:pPr>
        <w:ind w:left="2508" w:hanging="360"/>
      </w:pPr>
      <w:rPr>
        <w:rFonts w:ascii="Symbol" w:hAnsi="Symbol" w:hint="default"/>
      </w:rPr>
    </w:lvl>
    <w:lvl w:ilvl="4" w:tplc="040E0003" w:tentative="1">
      <w:start w:val="1"/>
      <w:numFmt w:val="bullet"/>
      <w:lvlText w:val="o"/>
      <w:lvlJc w:val="left"/>
      <w:pPr>
        <w:ind w:left="3228" w:hanging="360"/>
      </w:pPr>
      <w:rPr>
        <w:rFonts w:ascii="Courier New" w:hAnsi="Courier New" w:cs="Courier New" w:hint="default"/>
      </w:rPr>
    </w:lvl>
    <w:lvl w:ilvl="5" w:tplc="040E0005" w:tentative="1">
      <w:start w:val="1"/>
      <w:numFmt w:val="bullet"/>
      <w:lvlText w:val=""/>
      <w:lvlJc w:val="left"/>
      <w:pPr>
        <w:ind w:left="3948" w:hanging="360"/>
      </w:pPr>
      <w:rPr>
        <w:rFonts w:ascii="Wingdings" w:hAnsi="Wingdings" w:hint="default"/>
      </w:rPr>
    </w:lvl>
    <w:lvl w:ilvl="6" w:tplc="040E0001" w:tentative="1">
      <w:start w:val="1"/>
      <w:numFmt w:val="bullet"/>
      <w:lvlText w:val=""/>
      <w:lvlJc w:val="left"/>
      <w:pPr>
        <w:ind w:left="4668" w:hanging="360"/>
      </w:pPr>
      <w:rPr>
        <w:rFonts w:ascii="Symbol" w:hAnsi="Symbol" w:hint="default"/>
      </w:rPr>
    </w:lvl>
    <w:lvl w:ilvl="7" w:tplc="040E0003" w:tentative="1">
      <w:start w:val="1"/>
      <w:numFmt w:val="bullet"/>
      <w:lvlText w:val="o"/>
      <w:lvlJc w:val="left"/>
      <w:pPr>
        <w:ind w:left="5388" w:hanging="360"/>
      </w:pPr>
      <w:rPr>
        <w:rFonts w:ascii="Courier New" w:hAnsi="Courier New" w:cs="Courier New" w:hint="default"/>
      </w:rPr>
    </w:lvl>
    <w:lvl w:ilvl="8" w:tplc="040E0005" w:tentative="1">
      <w:start w:val="1"/>
      <w:numFmt w:val="bullet"/>
      <w:lvlText w:val=""/>
      <w:lvlJc w:val="left"/>
      <w:pPr>
        <w:ind w:left="6108" w:hanging="360"/>
      </w:pPr>
      <w:rPr>
        <w:rFonts w:ascii="Wingdings" w:hAnsi="Wingdings" w:hint="default"/>
      </w:rPr>
    </w:lvl>
  </w:abstractNum>
  <w:abstractNum w:abstractNumId="33">
    <w:nsid w:val="6F851EED"/>
    <w:multiLevelType w:val="multilevel"/>
    <w:tmpl w:val="7E2CE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F7F2F"/>
    <w:multiLevelType w:val="hybridMultilevel"/>
    <w:tmpl w:val="0CF46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1483342"/>
    <w:multiLevelType w:val="hybridMultilevel"/>
    <w:tmpl w:val="66986782"/>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36">
    <w:nsid w:val="72057097"/>
    <w:multiLevelType w:val="multilevel"/>
    <w:tmpl w:val="391895C2"/>
    <w:lvl w:ilvl="0">
      <w:start w:val="3"/>
      <w:numFmt w:val="decimal"/>
      <w:lvlText w:val="%1."/>
      <w:lvlJc w:val="left"/>
      <w:pPr>
        <w:ind w:left="360" w:hanging="360"/>
      </w:pPr>
      <w:rPr>
        <w:rFonts w:ascii="Times" w:hAnsi="Times" w:cs="Times" w:hint="default"/>
        <w:color w:val="000000"/>
        <w:sz w:val="15"/>
      </w:rPr>
    </w:lvl>
    <w:lvl w:ilvl="1">
      <w:start w:val="1"/>
      <w:numFmt w:val="decimal"/>
      <w:lvlText w:val="%1.%2."/>
      <w:lvlJc w:val="left"/>
      <w:pPr>
        <w:ind w:left="372" w:hanging="360"/>
      </w:pPr>
      <w:rPr>
        <w:rFonts w:ascii="Times" w:hAnsi="Times" w:cs="Times" w:hint="default"/>
        <w:color w:val="000000"/>
        <w:sz w:val="15"/>
      </w:rPr>
    </w:lvl>
    <w:lvl w:ilvl="2">
      <w:start w:val="1"/>
      <w:numFmt w:val="decimal"/>
      <w:lvlText w:val="%1.%2.%3."/>
      <w:lvlJc w:val="left"/>
      <w:pPr>
        <w:ind w:left="744" w:hanging="720"/>
      </w:pPr>
      <w:rPr>
        <w:rFonts w:ascii="Times" w:hAnsi="Times" w:cs="Times" w:hint="default"/>
        <w:color w:val="000000"/>
        <w:sz w:val="15"/>
      </w:rPr>
    </w:lvl>
    <w:lvl w:ilvl="3">
      <w:start w:val="1"/>
      <w:numFmt w:val="decimal"/>
      <w:lvlText w:val="%1.%2.%3.%4."/>
      <w:lvlJc w:val="left"/>
      <w:pPr>
        <w:ind w:left="756" w:hanging="720"/>
      </w:pPr>
      <w:rPr>
        <w:rFonts w:ascii="Times" w:hAnsi="Times" w:cs="Times" w:hint="default"/>
        <w:color w:val="000000"/>
        <w:sz w:val="15"/>
      </w:rPr>
    </w:lvl>
    <w:lvl w:ilvl="4">
      <w:start w:val="1"/>
      <w:numFmt w:val="decimal"/>
      <w:lvlText w:val="%1.%2.%3.%4.%5."/>
      <w:lvlJc w:val="left"/>
      <w:pPr>
        <w:ind w:left="1128" w:hanging="1080"/>
      </w:pPr>
      <w:rPr>
        <w:rFonts w:ascii="Times" w:hAnsi="Times" w:cs="Times" w:hint="default"/>
        <w:color w:val="000000"/>
        <w:sz w:val="15"/>
      </w:rPr>
    </w:lvl>
    <w:lvl w:ilvl="5">
      <w:start w:val="1"/>
      <w:numFmt w:val="decimal"/>
      <w:lvlText w:val="%1.%2.%3.%4.%5.%6."/>
      <w:lvlJc w:val="left"/>
      <w:pPr>
        <w:ind w:left="1140" w:hanging="1080"/>
      </w:pPr>
      <w:rPr>
        <w:rFonts w:ascii="Times" w:hAnsi="Times" w:cs="Times" w:hint="default"/>
        <w:color w:val="000000"/>
        <w:sz w:val="15"/>
      </w:rPr>
    </w:lvl>
    <w:lvl w:ilvl="6">
      <w:start w:val="1"/>
      <w:numFmt w:val="decimal"/>
      <w:lvlText w:val="%1.%2.%3.%4.%5.%6.%7."/>
      <w:lvlJc w:val="left"/>
      <w:pPr>
        <w:ind w:left="1152" w:hanging="1080"/>
      </w:pPr>
      <w:rPr>
        <w:rFonts w:ascii="Times" w:hAnsi="Times" w:cs="Times" w:hint="default"/>
        <w:color w:val="000000"/>
        <w:sz w:val="15"/>
      </w:rPr>
    </w:lvl>
    <w:lvl w:ilvl="7">
      <w:start w:val="1"/>
      <w:numFmt w:val="decimal"/>
      <w:lvlText w:val="%1.%2.%3.%4.%5.%6.%7.%8."/>
      <w:lvlJc w:val="left"/>
      <w:pPr>
        <w:ind w:left="1524" w:hanging="1440"/>
      </w:pPr>
      <w:rPr>
        <w:rFonts w:ascii="Times" w:hAnsi="Times" w:cs="Times" w:hint="default"/>
        <w:color w:val="000000"/>
        <w:sz w:val="15"/>
      </w:rPr>
    </w:lvl>
    <w:lvl w:ilvl="8">
      <w:start w:val="1"/>
      <w:numFmt w:val="decimal"/>
      <w:lvlText w:val="%1.%2.%3.%4.%5.%6.%7.%8.%9."/>
      <w:lvlJc w:val="left"/>
      <w:pPr>
        <w:ind w:left="1536" w:hanging="1440"/>
      </w:pPr>
      <w:rPr>
        <w:rFonts w:ascii="Times" w:hAnsi="Times" w:cs="Times" w:hint="default"/>
        <w:color w:val="000000"/>
        <w:sz w:val="15"/>
      </w:rPr>
    </w:lvl>
  </w:abstractNum>
  <w:abstractNum w:abstractNumId="37">
    <w:nsid w:val="7406606E"/>
    <w:multiLevelType w:val="hybridMultilevel"/>
    <w:tmpl w:val="3A621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A670BB1"/>
    <w:multiLevelType w:val="hybridMultilevel"/>
    <w:tmpl w:val="7500FA8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7B140049"/>
    <w:multiLevelType w:val="hybridMultilevel"/>
    <w:tmpl w:val="4CCCA3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F4D7CEE"/>
    <w:multiLevelType w:val="hybridMultilevel"/>
    <w:tmpl w:val="82A690C8"/>
    <w:lvl w:ilvl="0" w:tplc="D65E7248">
      <w:start w:val="1"/>
      <w:numFmt w:val="bullet"/>
      <w:lvlText w:val=""/>
      <w:lvlJc w:val="left"/>
      <w:pPr>
        <w:ind w:left="720" w:hanging="360"/>
      </w:pPr>
      <w:rPr>
        <w:rFonts w:ascii="Symbol" w:hAnsi="Symbol" w:hint="default"/>
        <w:sz w:val="20"/>
        <w:szCs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8"/>
  </w:num>
  <w:num w:numId="4">
    <w:abstractNumId w:val="37"/>
  </w:num>
  <w:num w:numId="5">
    <w:abstractNumId w:val="13"/>
  </w:num>
  <w:num w:numId="6">
    <w:abstractNumId w:val="6"/>
  </w:num>
  <w:num w:numId="7">
    <w:abstractNumId w:val="22"/>
  </w:num>
  <w:num w:numId="8">
    <w:abstractNumId w:val="29"/>
  </w:num>
  <w:num w:numId="9">
    <w:abstractNumId w:val="12"/>
  </w:num>
  <w:num w:numId="10">
    <w:abstractNumId w:val="20"/>
  </w:num>
  <w:num w:numId="11">
    <w:abstractNumId w:val="7"/>
  </w:num>
  <w:num w:numId="12">
    <w:abstractNumId w:val="36"/>
  </w:num>
  <w:num w:numId="13">
    <w:abstractNumId w:val="21"/>
  </w:num>
  <w:num w:numId="14">
    <w:abstractNumId w:val="17"/>
  </w:num>
  <w:num w:numId="15">
    <w:abstractNumId w:val="4"/>
  </w:num>
  <w:num w:numId="16">
    <w:abstractNumId w:val="34"/>
  </w:num>
  <w:num w:numId="17">
    <w:abstractNumId w:val="28"/>
  </w:num>
  <w:num w:numId="18">
    <w:abstractNumId w:val="19"/>
  </w:num>
  <w:num w:numId="19">
    <w:abstractNumId w:val="30"/>
  </w:num>
  <w:num w:numId="20">
    <w:abstractNumId w:val="38"/>
  </w:num>
  <w:num w:numId="21">
    <w:abstractNumId w:val="1"/>
  </w:num>
  <w:num w:numId="22">
    <w:abstractNumId w:val="16"/>
  </w:num>
  <w:num w:numId="23">
    <w:abstractNumId w:val="10"/>
  </w:num>
  <w:num w:numId="24">
    <w:abstractNumId w:val="25"/>
  </w:num>
  <w:num w:numId="25">
    <w:abstractNumId w:val="33"/>
  </w:num>
  <w:num w:numId="26">
    <w:abstractNumId w:val="27"/>
  </w:num>
  <w:num w:numId="27">
    <w:abstractNumId w:val="23"/>
  </w:num>
  <w:num w:numId="28">
    <w:abstractNumId w:val="3"/>
  </w:num>
  <w:num w:numId="29">
    <w:abstractNumId w:val="24"/>
  </w:num>
  <w:num w:numId="30">
    <w:abstractNumId w:val="9"/>
  </w:num>
  <w:num w:numId="31">
    <w:abstractNumId w:val="26"/>
  </w:num>
  <w:num w:numId="32">
    <w:abstractNumId w:val="40"/>
  </w:num>
  <w:num w:numId="33">
    <w:abstractNumId w:val="32"/>
  </w:num>
  <w:num w:numId="34">
    <w:abstractNumId w:val="14"/>
  </w:num>
  <w:num w:numId="35">
    <w:abstractNumId w:val="8"/>
  </w:num>
  <w:num w:numId="36">
    <w:abstractNumId w:val="0"/>
  </w:num>
  <w:num w:numId="37">
    <w:abstractNumId w:val="39"/>
  </w:num>
  <w:num w:numId="38">
    <w:abstractNumId w:val="31"/>
  </w:num>
  <w:num w:numId="39">
    <w:abstractNumId w:val="2"/>
  </w:num>
  <w:num w:numId="40">
    <w:abstractNumId w:val="1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A56FC"/>
    <w:rsid w:val="00007051"/>
    <w:rsid w:val="00007283"/>
    <w:rsid w:val="000125CC"/>
    <w:rsid w:val="00014DE4"/>
    <w:rsid w:val="000179A9"/>
    <w:rsid w:val="0002656A"/>
    <w:rsid w:val="000364C8"/>
    <w:rsid w:val="00036DD7"/>
    <w:rsid w:val="000375D5"/>
    <w:rsid w:val="00045B91"/>
    <w:rsid w:val="00055026"/>
    <w:rsid w:val="00063184"/>
    <w:rsid w:val="00063CFC"/>
    <w:rsid w:val="000660F4"/>
    <w:rsid w:val="00066FA0"/>
    <w:rsid w:val="00076B02"/>
    <w:rsid w:val="0007738F"/>
    <w:rsid w:val="000A4098"/>
    <w:rsid w:val="000A64A1"/>
    <w:rsid w:val="000B04BD"/>
    <w:rsid w:val="000C2D07"/>
    <w:rsid w:val="000C3955"/>
    <w:rsid w:val="000C690D"/>
    <w:rsid w:val="000D2E08"/>
    <w:rsid w:val="000E4488"/>
    <w:rsid w:val="000F520E"/>
    <w:rsid w:val="0010281F"/>
    <w:rsid w:val="00105E27"/>
    <w:rsid w:val="00107CC3"/>
    <w:rsid w:val="00127385"/>
    <w:rsid w:val="00130322"/>
    <w:rsid w:val="001304FD"/>
    <w:rsid w:val="00133427"/>
    <w:rsid w:val="00141E13"/>
    <w:rsid w:val="00143F84"/>
    <w:rsid w:val="001461A9"/>
    <w:rsid w:val="001469D7"/>
    <w:rsid w:val="00147282"/>
    <w:rsid w:val="00153CFD"/>
    <w:rsid w:val="00162654"/>
    <w:rsid w:val="00165144"/>
    <w:rsid w:val="00174CFF"/>
    <w:rsid w:val="00183F0A"/>
    <w:rsid w:val="00185F2E"/>
    <w:rsid w:val="00186F28"/>
    <w:rsid w:val="00191371"/>
    <w:rsid w:val="0019664E"/>
    <w:rsid w:val="001970A8"/>
    <w:rsid w:val="001A65F2"/>
    <w:rsid w:val="001A6EE8"/>
    <w:rsid w:val="001C35BF"/>
    <w:rsid w:val="001C764D"/>
    <w:rsid w:val="001D1F21"/>
    <w:rsid w:val="001E0235"/>
    <w:rsid w:val="001E52BC"/>
    <w:rsid w:val="001F1DE3"/>
    <w:rsid w:val="001F2BDA"/>
    <w:rsid w:val="001F3099"/>
    <w:rsid w:val="002057E4"/>
    <w:rsid w:val="00212135"/>
    <w:rsid w:val="002154BC"/>
    <w:rsid w:val="00217D8B"/>
    <w:rsid w:val="00227A60"/>
    <w:rsid w:val="00230768"/>
    <w:rsid w:val="0023557F"/>
    <w:rsid w:val="00237442"/>
    <w:rsid w:val="00241CC1"/>
    <w:rsid w:val="00242DB9"/>
    <w:rsid w:val="00250B08"/>
    <w:rsid w:val="00253ECF"/>
    <w:rsid w:val="0025540A"/>
    <w:rsid w:val="002613FC"/>
    <w:rsid w:val="00262727"/>
    <w:rsid w:val="00264F56"/>
    <w:rsid w:val="002725FE"/>
    <w:rsid w:val="00273DAA"/>
    <w:rsid w:val="0028617B"/>
    <w:rsid w:val="00286A86"/>
    <w:rsid w:val="00291557"/>
    <w:rsid w:val="002927C6"/>
    <w:rsid w:val="002939D8"/>
    <w:rsid w:val="00297A9A"/>
    <w:rsid w:val="002A52CE"/>
    <w:rsid w:val="002B6731"/>
    <w:rsid w:val="002C564C"/>
    <w:rsid w:val="002D12AD"/>
    <w:rsid w:val="002D174E"/>
    <w:rsid w:val="002D4A1D"/>
    <w:rsid w:val="002D623C"/>
    <w:rsid w:val="002E02A5"/>
    <w:rsid w:val="002E35FE"/>
    <w:rsid w:val="002E3F21"/>
    <w:rsid w:val="002E7F4B"/>
    <w:rsid w:val="002F3D0D"/>
    <w:rsid w:val="00301083"/>
    <w:rsid w:val="0031049C"/>
    <w:rsid w:val="0031633C"/>
    <w:rsid w:val="00321AA6"/>
    <w:rsid w:val="003338B6"/>
    <w:rsid w:val="003439BA"/>
    <w:rsid w:val="00344BA3"/>
    <w:rsid w:val="00351C37"/>
    <w:rsid w:val="0035775C"/>
    <w:rsid w:val="003631AE"/>
    <w:rsid w:val="00365E59"/>
    <w:rsid w:val="003675F0"/>
    <w:rsid w:val="003706B3"/>
    <w:rsid w:val="003706CB"/>
    <w:rsid w:val="00375506"/>
    <w:rsid w:val="00376B26"/>
    <w:rsid w:val="00382356"/>
    <w:rsid w:val="00383A22"/>
    <w:rsid w:val="00395E4A"/>
    <w:rsid w:val="003970CF"/>
    <w:rsid w:val="003978FC"/>
    <w:rsid w:val="003A07D2"/>
    <w:rsid w:val="003A119E"/>
    <w:rsid w:val="003A31F5"/>
    <w:rsid w:val="003B0D06"/>
    <w:rsid w:val="003B3FE5"/>
    <w:rsid w:val="003C0F26"/>
    <w:rsid w:val="003C5DCB"/>
    <w:rsid w:val="003D0D2B"/>
    <w:rsid w:val="003D7939"/>
    <w:rsid w:val="003E4B2B"/>
    <w:rsid w:val="003F0E03"/>
    <w:rsid w:val="003F1886"/>
    <w:rsid w:val="003F3F15"/>
    <w:rsid w:val="00400057"/>
    <w:rsid w:val="00410913"/>
    <w:rsid w:val="0041284E"/>
    <w:rsid w:val="004136A4"/>
    <w:rsid w:val="00415429"/>
    <w:rsid w:val="0042016C"/>
    <w:rsid w:val="00433AA5"/>
    <w:rsid w:val="00434E02"/>
    <w:rsid w:val="004447CD"/>
    <w:rsid w:val="00446009"/>
    <w:rsid w:val="0045200D"/>
    <w:rsid w:val="00455D77"/>
    <w:rsid w:val="0046242D"/>
    <w:rsid w:val="0046680E"/>
    <w:rsid w:val="00471B3C"/>
    <w:rsid w:val="0047441C"/>
    <w:rsid w:val="00477B6F"/>
    <w:rsid w:val="00492A0A"/>
    <w:rsid w:val="004A2E4A"/>
    <w:rsid w:val="004B62B6"/>
    <w:rsid w:val="004C1C53"/>
    <w:rsid w:val="004D1BC3"/>
    <w:rsid w:val="004D5CCF"/>
    <w:rsid w:val="004D6A29"/>
    <w:rsid w:val="004E1DB6"/>
    <w:rsid w:val="004E2A59"/>
    <w:rsid w:val="004F2FC2"/>
    <w:rsid w:val="004F5DCB"/>
    <w:rsid w:val="004F7186"/>
    <w:rsid w:val="005054D8"/>
    <w:rsid w:val="005069A6"/>
    <w:rsid w:val="005102DD"/>
    <w:rsid w:val="00512C1D"/>
    <w:rsid w:val="005137B9"/>
    <w:rsid w:val="005144D0"/>
    <w:rsid w:val="00521B7F"/>
    <w:rsid w:val="00534C70"/>
    <w:rsid w:val="005361B8"/>
    <w:rsid w:val="00547E83"/>
    <w:rsid w:val="00547ED1"/>
    <w:rsid w:val="00551FE5"/>
    <w:rsid w:val="00552361"/>
    <w:rsid w:val="00557153"/>
    <w:rsid w:val="00557611"/>
    <w:rsid w:val="00562549"/>
    <w:rsid w:val="0057060C"/>
    <w:rsid w:val="00583E67"/>
    <w:rsid w:val="0058420A"/>
    <w:rsid w:val="005849D0"/>
    <w:rsid w:val="00592710"/>
    <w:rsid w:val="00596284"/>
    <w:rsid w:val="00596451"/>
    <w:rsid w:val="005A44B8"/>
    <w:rsid w:val="005A5250"/>
    <w:rsid w:val="005A626B"/>
    <w:rsid w:val="005A724F"/>
    <w:rsid w:val="005B1327"/>
    <w:rsid w:val="005B4C29"/>
    <w:rsid w:val="005C246C"/>
    <w:rsid w:val="005C7D71"/>
    <w:rsid w:val="005D30C9"/>
    <w:rsid w:val="005D4758"/>
    <w:rsid w:val="005E34CF"/>
    <w:rsid w:val="005F277A"/>
    <w:rsid w:val="005F6D33"/>
    <w:rsid w:val="00602A26"/>
    <w:rsid w:val="00603CD1"/>
    <w:rsid w:val="00603E18"/>
    <w:rsid w:val="00605A8A"/>
    <w:rsid w:val="006069B5"/>
    <w:rsid w:val="00614403"/>
    <w:rsid w:val="00614FA1"/>
    <w:rsid w:val="00622514"/>
    <w:rsid w:val="00623262"/>
    <w:rsid w:val="0062333E"/>
    <w:rsid w:val="00627363"/>
    <w:rsid w:val="006321FC"/>
    <w:rsid w:val="006436AC"/>
    <w:rsid w:val="00646C72"/>
    <w:rsid w:val="0066497D"/>
    <w:rsid w:val="006A10FC"/>
    <w:rsid w:val="006A54D4"/>
    <w:rsid w:val="006A6A4B"/>
    <w:rsid w:val="006A7B56"/>
    <w:rsid w:val="006B4AB4"/>
    <w:rsid w:val="006C078D"/>
    <w:rsid w:val="006D21EA"/>
    <w:rsid w:val="006E2B0E"/>
    <w:rsid w:val="006E3D8D"/>
    <w:rsid w:val="006E7974"/>
    <w:rsid w:val="00703423"/>
    <w:rsid w:val="00711B94"/>
    <w:rsid w:val="00714C12"/>
    <w:rsid w:val="00716936"/>
    <w:rsid w:val="007344AD"/>
    <w:rsid w:val="007411C7"/>
    <w:rsid w:val="007456A1"/>
    <w:rsid w:val="00745AA4"/>
    <w:rsid w:val="007655D0"/>
    <w:rsid w:val="00773E26"/>
    <w:rsid w:val="007863F1"/>
    <w:rsid w:val="00792EF9"/>
    <w:rsid w:val="007A071D"/>
    <w:rsid w:val="007A0994"/>
    <w:rsid w:val="007A13E0"/>
    <w:rsid w:val="007A15C2"/>
    <w:rsid w:val="007A56FC"/>
    <w:rsid w:val="007A73AE"/>
    <w:rsid w:val="007B26AB"/>
    <w:rsid w:val="007B7711"/>
    <w:rsid w:val="007C3CEF"/>
    <w:rsid w:val="007C5CCF"/>
    <w:rsid w:val="007D15E2"/>
    <w:rsid w:val="007D3006"/>
    <w:rsid w:val="007D5154"/>
    <w:rsid w:val="007D5FF2"/>
    <w:rsid w:val="007F2641"/>
    <w:rsid w:val="007F3882"/>
    <w:rsid w:val="007F4C23"/>
    <w:rsid w:val="008009A9"/>
    <w:rsid w:val="008038D2"/>
    <w:rsid w:val="00806CC0"/>
    <w:rsid w:val="00812443"/>
    <w:rsid w:val="008164BF"/>
    <w:rsid w:val="0082208E"/>
    <w:rsid w:val="00824825"/>
    <w:rsid w:val="00825EAA"/>
    <w:rsid w:val="00833409"/>
    <w:rsid w:val="008361FE"/>
    <w:rsid w:val="00837B84"/>
    <w:rsid w:val="008435BC"/>
    <w:rsid w:val="00846E9F"/>
    <w:rsid w:val="008514E2"/>
    <w:rsid w:val="00853056"/>
    <w:rsid w:val="008622E1"/>
    <w:rsid w:val="00873C26"/>
    <w:rsid w:val="0088357F"/>
    <w:rsid w:val="00895F93"/>
    <w:rsid w:val="00897157"/>
    <w:rsid w:val="008B34A6"/>
    <w:rsid w:val="008B40BB"/>
    <w:rsid w:val="008D3006"/>
    <w:rsid w:val="008E1B19"/>
    <w:rsid w:val="008E1C2B"/>
    <w:rsid w:val="008E1E0C"/>
    <w:rsid w:val="008E1E18"/>
    <w:rsid w:val="008F003E"/>
    <w:rsid w:val="008F64CD"/>
    <w:rsid w:val="00901CC4"/>
    <w:rsid w:val="009077AD"/>
    <w:rsid w:val="009301E8"/>
    <w:rsid w:val="0093627E"/>
    <w:rsid w:val="009400E0"/>
    <w:rsid w:val="00940491"/>
    <w:rsid w:val="009413CF"/>
    <w:rsid w:val="00950478"/>
    <w:rsid w:val="00951020"/>
    <w:rsid w:val="009524BD"/>
    <w:rsid w:val="00954AC2"/>
    <w:rsid w:val="00962A60"/>
    <w:rsid w:val="00965EDE"/>
    <w:rsid w:val="00967CED"/>
    <w:rsid w:val="00974715"/>
    <w:rsid w:val="00974F30"/>
    <w:rsid w:val="00975749"/>
    <w:rsid w:val="00982655"/>
    <w:rsid w:val="009844AF"/>
    <w:rsid w:val="009912FD"/>
    <w:rsid w:val="009B05CF"/>
    <w:rsid w:val="009B2AF9"/>
    <w:rsid w:val="009C7ED4"/>
    <w:rsid w:val="009D095B"/>
    <w:rsid w:val="009D1E0E"/>
    <w:rsid w:val="009D2DD6"/>
    <w:rsid w:val="009D5A82"/>
    <w:rsid w:val="009D5BC5"/>
    <w:rsid w:val="009E6837"/>
    <w:rsid w:val="009F14CC"/>
    <w:rsid w:val="009F2E6E"/>
    <w:rsid w:val="00A06468"/>
    <w:rsid w:val="00A11429"/>
    <w:rsid w:val="00A1206A"/>
    <w:rsid w:val="00A16E88"/>
    <w:rsid w:val="00A279C0"/>
    <w:rsid w:val="00A34871"/>
    <w:rsid w:val="00A40948"/>
    <w:rsid w:val="00A63D8F"/>
    <w:rsid w:val="00A67E30"/>
    <w:rsid w:val="00A720BA"/>
    <w:rsid w:val="00A80F73"/>
    <w:rsid w:val="00A8636A"/>
    <w:rsid w:val="00A96210"/>
    <w:rsid w:val="00AA0D9D"/>
    <w:rsid w:val="00AA6448"/>
    <w:rsid w:val="00AB0A0A"/>
    <w:rsid w:val="00AB33A3"/>
    <w:rsid w:val="00AB36E2"/>
    <w:rsid w:val="00AB3F50"/>
    <w:rsid w:val="00AB6CD6"/>
    <w:rsid w:val="00AC0BF1"/>
    <w:rsid w:val="00AD05A3"/>
    <w:rsid w:val="00AD6DC3"/>
    <w:rsid w:val="00AE12C7"/>
    <w:rsid w:val="00AE1AD7"/>
    <w:rsid w:val="00AF0846"/>
    <w:rsid w:val="00AF0869"/>
    <w:rsid w:val="00AF2707"/>
    <w:rsid w:val="00AF58BD"/>
    <w:rsid w:val="00B0680D"/>
    <w:rsid w:val="00B07CB1"/>
    <w:rsid w:val="00B13513"/>
    <w:rsid w:val="00B278D6"/>
    <w:rsid w:val="00B32485"/>
    <w:rsid w:val="00B35568"/>
    <w:rsid w:val="00B3647A"/>
    <w:rsid w:val="00B36809"/>
    <w:rsid w:val="00B40AC6"/>
    <w:rsid w:val="00B44980"/>
    <w:rsid w:val="00B45CD1"/>
    <w:rsid w:val="00B57FB5"/>
    <w:rsid w:val="00B64FC7"/>
    <w:rsid w:val="00B65232"/>
    <w:rsid w:val="00B735C0"/>
    <w:rsid w:val="00B849F5"/>
    <w:rsid w:val="00B867CB"/>
    <w:rsid w:val="00B918F8"/>
    <w:rsid w:val="00BA5FAF"/>
    <w:rsid w:val="00BB013E"/>
    <w:rsid w:val="00BB0B97"/>
    <w:rsid w:val="00BB57CA"/>
    <w:rsid w:val="00BC582D"/>
    <w:rsid w:val="00BD004B"/>
    <w:rsid w:val="00BD1895"/>
    <w:rsid w:val="00BD3284"/>
    <w:rsid w:val="00BD59D8"/>
    <w:rsid w:val="00BE600A"/>
    <w:rsid w:val="00BE774A"/>
    <w:rsid w:val="00BE7EDE"/>
    <w:rsid w:val="00BF1CC1"/>
    <w:rsid w:val="00BF7039"/>
    <w:rsid w:val="00C140E1"/>
    <w:rsid w:val="00C2029B"/>
    <w:rsid w:val="00C24EB4"/>
    <w:rsid w:val="00C2560B"/>
    <w:rsid w:val="00C25C24"/>
    <w:rsid w:val="00C34F0D"/>
    <w:rsid w:val="00C360BB"/>
    <w:rsid w:val="00C4302D"/>
    <w:rsid w:val="00C4795F"/>
    <w:rsid w:val="00C47FD4"/>
    <w:rsid w:val="00C560F7"/>
    <w:rsid w:val="00C56337"/>
    <w:rsid w:val="00C61468"/>
    <w:rsid w:val="00C63A0C"/>
    <w:rsid w:val="00C649E5"/>
    <w:rsid w:val="00C70B4F"/>
    <w:rsid w:val="00C70EE9"/>
    <w:rsid w:val="00C717C1"/>
    <w:rsid w:val="00C769F5"/>
    <w:rsid w:val="00C80211"/>
    <w:rsid w:val="00C809E7"/>
    <w:rsid w:val="00C92E71"/>
    <w:rsid w:val="00C95ABD"/>
    <w:rsid w:val="00C97EB9"/>
    <w:rsid w:val="00CA7C16"/>
    <w:rsid w:val="00CB198F"/>
    <w:rsid w:val="00CB288A"/>
    <w:rsid w:val="00CB653E"/>
    <w:rsid w:val="00CC3670"/>
    <w:rsid w:val="00CE0DBE"/>
    <w:rsid w:val="00CE1EB8"/>
    <w:rsid w:val="00CE6734"/>
    <w:rsid w:val="00CF21BC"/>
    <w:rsid w:val="00CF36A5"/>
    <w:rsid w:val="00CF75B7"/>
    <w:rsid w:val="00D0062C"/>
    <w:rsid w:val="00D04905"/>
    <w:rsid w:val="00D21FE2"/>
    <w:rsid w:val="00D23DC0"/>
    <w:rsid w:val="00D251AB"/>
    <w:rsid w:val="00D25491"/>
    <w:rsid w:val="00D2644A"/>
    <w:rsid w:val="00D26AFF"/>
    <w:rsid w:val="00D275AA"/>
    <w:rsid w:val="00D31FA6"/>
    <w:rsid w:val="00D35DA2"/>
    <w:rsid w:val="00D408A5"/>
    <w:rsid w:val="00D42B94"/>
    <w:rsid w:val="00D50317"/>
    <w:rsid w:val="00D52A42"/>
    <w:rsid w:val="00D53EAA"/>
    <w:rsid w:val="00D54E0F"/>
    <w:rsid w:val="00D55079"/>
    <w:rsid w:val="00D709AD"/>
    <w:rsid w:val="00D875B5"/>
    <w:rsid w:val="00D95AE3"/>
    <w:rsid w:val="00D95FD1"/>
    <w:rsid w:val="00D97CC0"/>
    <w:rsid w:val="00DA0D3B"/>
    <w:rsid w:val="00DA1BD8"/>
    <w:rsid w:val="00DA35DC"/>
    <w:rsid w:val="00DB579F"/>
    <w:rsid w:val="00DB5DE0"/>
    <w:rsid w:val="00DC7903"/>
    <w:rsid w:val="00DD0529"/>
    <w:rsid w:val="00DD63D0"/>
    <w:rsid w:val="00DE2A7F"/>
    <w:rsid w:val="00DE7ABD"/>
    <w:rsid w:val="00DF0C35"/>
    <w:rsid w:val="00DF1E58"/>
    <w:rsid w:val="00DF3FCD"/>
    <w:rsid w:val="00DF5991"/>
    <w:rsid w:val="00DF7B2C"/>
    <w:rsid w:val="00E00D4A"/>
    <w:rsid w:val="00E020EB"/>
    <w:rsid w:val="00E0403F"/>
    <w:rsid w:val="00E0719C"/>
    <w:rsid w:val="00E12929"/>
    <w:rsid w:val="00E1485D"/>
    <w:rsid w:val="00E170AA"/>
    <w:rsid w:val="00E21FDA"/>
    <w:rsid w:val="00E23E53"/>
    <w:rsid w:val="00E27FAF"/>
    <w:rsid w:val="00E413C0"/>
    <w:rsid w:val="00E4448C"/>
    <w:rsid w:val="00E445E4"/>
    <w:rsid w:val="00E5111F"/>
    <w:rsid w:val="00E53A8B"/>
    <w:rsid w:val="00E55841"/>
    <w:rsid w:val="00E56BDD"/>
    <w:rsid w:val="00E64BE8"/>
    <w:rsid w:val="00E6541A"/>
    <w:rsid w:val="00E70B22"/>
    <w:rsid w:val="00E718A6"/>
    <w:rsid w:val="00E73003"/>
    <w:rsid w:val="00E74969"/>
    <w:rsid w:val="00E82B47"/>
    <w:rsid w:val="00E85387"/>
    <w:rsid w:val="00E87CDD"/>
    <w:rsid w:val="00E963C3"/>
    <w:rsid w:val="00E96E7D"/>
    <w:rsid w:val="00EA1DDA"/>
    <w:rsid w:val="00EA272F"/>
    <w:rsid w:val="00EB1DBE"/>
    <w:rsid w:val="00EB2425"/>
    <w:rsid w:val="00EB568B"/>
    <w:rsid w:val="00EC112A"/>
    <w:rsid w:val="00EC6914"/>
    <w:rsid w:val="00EC7409"/>
    <w:rsid w:val="00EC7871"/>
    <w:rsid w:val="00ED2B2D"/>
    <w:rsid w:val="00ED4E45"/>
    <w:rsid w:val="00EE035E"/>
    <w:rsid w:val="00EE1681"/>
    <w:rsid w:val="00EF6740"/>
    <w:rsid w:val="00F02BC9"/>
    <w:rsid w:val="00F04B71"/>
    <w:rsid w:val="00F05045"/>
    <w:rsid w:val="00F07554"/>
    <w:rsid w:val="00F11AF9"/>
    <w:rsid w:val="00F17E0C"/>
    <w:rsid w:val="00F21CDF"/>
    <w:rsid w:val="00F23B0E"/>
    <w:rsid w:val="00F246B9"/>
    <w:rsid w:val="00F25E2F"/>
    <w:rsid w:val="00F264B4"/>
    <w:rsid w:val="00F300FA"/>
    <w:rsid w:val="00F32006"/>
    <w:rsid w:val="00F34DED"/>
    <w:rsid w:val="00F444E5"/>
    <w:rsid w:val="00F46E10"/>
    <w:rsid w:val="00F47DF7"/>
    <w:rsid w:val="00F71D56"/>
    <w:rsid w:val="00F7319B"/>
    <w:rsid w:val="00F8181D"/>
    <w:rsid w:val="00F82B8C"/>
    <w:rsid w:val="00F82CE8"/>
    <w:rsid w:val="00F963B6"/>
    <w:rsid w:val="00FA46A2"/>
    <w:rsid w:val="00FA4B5D"/>
    <w:rsid w:val="00FA4F03"/>
    <w:rsid w:val="00FA70E4"/>
    <w:rsid w:val="00FA7A26"/>
    <w:rsid w:val="00FC1AD9"/>
    <w:rsid w:val="00FC1F2E"/>
    <w:rsid w:val="00FC33C3"/>
    <w:rsid w:val="00FC354B"/>
    <w:rsid w:val="00FC50EB"/>
    <w:rsid w:val="00FD01CD"/>
    <w:rsid w:val="00FD34CB"/>
    <w:rsid w:val="00FD7175"/>
    <w:rsid w:val="00FE1E1C"/>
    <w:rsid w:val="00FE36E2"/>
    <w:rsid w:val="00FF26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56FC"/>
    <w:pPr>
      <w:widowControl w:val="0"/>
      <w:autoSpaceDE w:val="0"/>
      <w:autoSpaceDN w:val="0"/>
      <w:adjustRightInd w:val="0"/>
      <w:spacing w:after="0" w:line="240" w:lineRule="auto"/>
    </w:pPr>
    <w:rPr>
      <w:rFonts w:ascii="Arial" w:eastAsia="Times New Roman" w:hAnsi="Arial" w:cs="Arial"/>
      <w:sz w:val="24"/>
      <w:szCs w:val="24"/>
    </w:rPr>
  </w:style>
  <w:style w:type="paragraph" w:styleId="Cmsor1">
    <w:name w:val="heading 1"/>
    <w:basedOn w:val="Norml"/>
    <w:next w:val="Norml"/>
    <w:link w:val="Cmsor1Char"/>
    <w:uiPriority w:val="9"/>
    <w:qFormat/>
    <w:rsid w:val="007C3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7C3C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uiPriority w:val="99"/>
    <w:rsid w:val="007A56FC"/>
    <w:pPr>
      <w:keepNext/>
      <w:spacing w:before="240" w:after="120"/>
    </w:pPr>
    <w:rPr>
      <w:rFonts w:ascii="Liberation Sans" w:hAnsi="Liberation Sans"/>
      <w:sz w:val="28"/>
      <w:szCs w:val="28"/>
    </w:rPr>
  </w:style>
  <w:style w:type="paragraph" w:styleId="Szvegtrzs">
    <w:name w:val="Body Text"/>
    <w:basedOn w:val="Norml"/>
    <w:link w:val="SzvegtrzsChar"/>
    <w:uiPriority w:val="99"/>
    <w:rsid w:val="007A56FC"/>
    <w:pPr>
      <w:spacing w:after="120"/>
    </w:pPr>
  </w:style>
  <w:style w:type="character" w:customStyle="1" w:styleId="SzvegtrzsChar">
    <w:name w:val="Szövegtörzs Char"/>
    <w:basedOn w:val="Bekezdsalapbettpusa"/>
    <w:link w:val="Szvegtrzs"/>
    <w:uiPriority w:val="99"/>
    <w:rsid w:val="007A56FC"/>
    <w:rPr>
      <w:rFonts w:ascii="Arial" w:eastAsia="Times New Roman" w:hAnsi="Arial" w:cs="Arial"/>
      <w:sz w:val="24"/>
      <w:szCs w:val="24"/>
    </w:rPr>
  </w:style>
  <w:style w:type="paragraph" w:styleId="Lista">
    <w:name w:val="List"/>
    <w:basedOn w:val="Szvegtrzs"/>
    <w:uiPriority w:val="99"/>
    <w:rsid w:val="007A56FC"/>
  </w:style>
  <w:style w:type="paragraph" w:styleId="Kpalrs">
    <w:name w:val="caption"/>
    <w:basedOn w:val="Norml"/>
    <w:uiPriority w:val="99"/>
    <w:qFormat/>
    <w:rsid w:val="007A56FC"/>
    <w:pPr>
      <w:spacing w:before="120" w:after="120"/>
    </w:pPr>
    <w:rPr>
      <w:i/>
      <w:iCs/>
    </w:rPr>
  </w:style>
  <w:style w:type="paragraph" w:customStyle="1" w:styleId="Index">
    <w:name w:val="Index"/>
    <w:basedOn w:val="Norml"/>
    <w:uiPriority w:val="99"/>
    <w:rsid w:val="007A56FC"/>
  </w:style>
  <w:style w:type="paragraph" w:styleId="Buborkszveg">
    <w:name w:val="Balloon Text"/>
    <w:basedOn w:val="Norml"/>
    <w:link w:val="BuborkszvegChar"/>
    <w:uiPriority w:val="99"/>
    <w:semiHidden/>
    <w:unhideWhenUsed/>
    <w:rsid w:val="007A56FC"/>
    <w:rPr>
      <w:rFonts w:ascii="Tahoma" w:hAnsi="Tahoma" w:cs="Tahoma"/>
      <w:sz w:val="16"/>
      <w:szCs w:val="16"/>
    </w:rPr>
  </w:style>
  <w:style w:type="character" w:customStyle="1" w:styleId="BuborkszvegChar">
    <w:name w:val="Buborékszöveg Char"/>
    <w:basedOn w:val="Bekezdsalapbettpusa"/>
    <w:link w:val="Buborkszveg"/>
    <w:uiPriority w:val="99"/>
    <w:semiHidden/>
    <w:rsid w:val="007A56FC"/>
    <w:rPr>
      <w:rFonts w:ascii="Tahoma" w:eastAsia="Times New Roman" w:hAnsi="Tahoma" w:cs="Tahoma"/>
      <w:sz w:val="16"/>
      <w:szCs w:val="16"/>
    </w:rPr>
  </w:style>
  <w:style w:type="character" w:customStyle="1" w:styleId="italic">
    <w:name w:val="italic"/>
    <w:basedOn w:val="Bekezdsalapbettpusa"/>
    <w:rsid w:val="007A56FC"/>
  </w:style>
  <w:style w:type="character" w:customStyle="1" w:styleId="apple-converted-space">
    <w:name w:val="apple-converted-space"/>
    <w:basedOn w:val="Bekezdsalapbettpusa"/>
    <w:rsid w:val="007A56FC"/>
  </w:style>
  <w:style w:type="paragraph" w:styleId="Lbjegyzetszveg">
    <w:name w:val="footnote text"/>
    <w:basedOn w:val="Norml"/>
    <w:link w:val="LbjegyzetszvegChar"/>
    <w:unhideWhenUsed/>
    <w:rsid w:val="00D275AA"/>
    <w:rPr>
      <w:sz w:val="20"/>
      <w:szCs w:val="20"/>
    </w:rPr>
  </w:style>
  <w:style w:type="character" w:customStyle="1" w:styleId="LbjegyzetszvegChar">
    <w:name w:val="Lábjegyzetszöveg Char"/>
    <w:basedOn w:val="Bekezdsalapbettpusa"/>
    <w:link w:val="Lbjegyzetszveg"/>
    <w:rsid w:val="00D275AA"/>
    <w:rPr>
      <w:rFonts w:ascii="Arial" w:eastAsia="Times New Roman" w:hAnsi="Arial" w:cs="Arial"/>
      <w:sz w:val="20"/>
      <w:szCs w:val="20"/>
    </w:rPr>
  </w:style>
  <w:style w:type="character" w:styleId="Lbjegyzet-hivatkozs">
    <w:name w:val="footnote reference"/>
    <w:basedOn w:val="Bekezdsalapbettpusa"/>
    <w:uiPriority w:val="99"/>
    <w:unhideWhenUsed/>
    <w:rsid w:val="00D275AA"/>
    <w:rPr>
      <w:vertAlign w:val="superscript"/>
    </w:rPr>
  </w:style>
  <w:style w:type="paragraph" w:styleId="NormlWeb">
    <w:name w:val="Normal (Web)"/>
    <w:basedOn w:val="Norml"/>
    <w:uiPriority w:val="99"/>
    <w:unhideWhenUsed/>
    <w:rsid w:val="00E718A6"/>
    <w:pPr>
      <w:widowControl/>
      <w:autoSpaceDE/>
      <w:autoSpaceDN/>
      <w:adjustRightInd/>
      <w:spacing w:before="100" w:beforeAutospacing="1" w:after="100" w:afterAutospacing="1"/>
    </w:pPr>
    <w:rPr>
      <w:rFonts w:ascii="Times New Roman" w:hAnsi="Times New Roman" w:cs="Times New Roman"/>
      <w:lang w:eastAsia="hu-HU"/>
    </w:rPr>
  </w:style>
  <w:style w:type="paragraph" w:styleId="Listaszerbekezds">
    <w:name w:val="List Paragraph"/>
    <w:basedOn w:val="Norml"/>
    <w:uiPriority w:val="34"/>
    <w:qFormat/>
    <w:rsid w:val="006E2B0E"/>
    <w:pPr>
      <w:ind w:left="720"/>
      <w:contextualSpacing/>
    </w:pPr>
  </w:style>
  <w:style w:type="table" w:styleId="Rcsostblzat">
    <w:name w:val="Table Grid"/>
    <w:basedOn w:val="Normltblzat"/>
    <w:uiPriority w:val="59"/>
    <w:rsid w:val="00077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2016C"/>
    <w:rPr>
      <w:color w:val="0000FF"/>
      <w:u w:val="single"/>
    </w:rPr>
  </w:style>
  <w:style w:type="character" w:styleId="Kiemels2">
    <w:name w:val="Strong"/>
    <w:basedOn w:val="Bekezdsalapbettpusa"/>
    <w:uiPriority w:val="22"/>
    <w:qFormat/>
    <w:rsid w:val="002927C6"/>
    <w:rPr>
      <w:b/>
      <w:bCs/>
    </w:rPr>
  </w:style>
  <w:style w:type="paragraph" w:customStyle="1" w:styleId="normal">
    <w:name w:val="normal"/>
    <w:basedOn w:val="Norml"/>
    <w:rsid w:val="00F11AF9"/>
    <w:pPr>
      <w:widowControl/>
      <w:autoSpaceDE/>
      <w:autoSpaceDN/>
      <w:adjustRightInd/>
      <w:spacing w:before="100" w:beforeAutospacing="1" w:after="100" w:afterAutospacing="1"/>
    </w:pPr>
    <w:rPr>
      <w:rFonts w:ascii="Times New Roman" w:hAnsi="Times New Roman" w:cs="Times New Roman"/>
      <w:lang w:eastAsia="hu-HU"/>
    </w:rPr>
  </w:style>
  <w:style w:type="paragraph" w:customStyle="1" w:styleId="sti-art">
    <w:name w:val="sti-art"/>
    <w:basedOn w:val="Norml"/>
    <w:rsid w:val="00063CFC"/>
    <w:pPr>
      <w:widowControl/>
      <w:autoSpaceDE/>
      <w:autoSpaceDN/>
      <w:adjustRightInd/>
      <w:spacing w:before="100" w:beforeAutospacing="1" w:after="100" w:afterAutospacing="1"/>
    </w:pPr>
    <w:rPr>
      <w:rFonts w:ascii="Times New Roman" w:hAnsi="Times New Roman" w:cs="Times New Roman"/>
      <w:lang w:eastAsia="hu-HU"/>
    </w:rPr>
  </w:style>
  <w:style w:type="paragraph" w:customStyle="1" w:styleId="ti-art">
    <w:name w:val="ti-art"/>
    <w:basedOn w:val="Norml"/>
    <w:rsid w:val="00063CFC"/>
    <w:pPr>
      <w:widowControl/>
      <w:autoSpaceDE/>
      <w:autoSpaceDN/>
      <w:adjustRightInd/>
      <w:spacing w:before="100" w:beforeAutospacing="1" w:after="100" w:afterAutospacing="1"/>
    </w:pPr>
    <w:rPr>
      <w:rFonts w:ascii="Times New Roman" w:hAnsi="Times New Roman" w:cs="Times New Roman"/>
      <w:lang w:eastAsia="hu-HU"/>
    </w:rPr>
  </w:style>
  <w:style w:type="paragraph" w:styleId="lfej">
    <w:name w:val="header"/>
    <w:basedOn w:val="Norml"/>
    <w:link w:val="lfejChar"/>
    <w:uiPriority w:val="99"/>
    <w:semiHidden/>
    <w:unhideWhenUsed/>
    <w:rsid w:val="007D15E2"/>
    <w:pPr>
      <w:tabs>
        <w:tab w:val="center" w:pos="4536"/>
        <w:tab w:val="right" w:pos="9072"/>
      </w:tabs>
    </w:pPr>
  </w:style>
  <w:style w:type="character" w:customStyle="1" w:styleId="lfejChar">
    <w:name w:val="Élőfej Char"/>
    <w:basedOn w:val="Bekezdsalapbettpusa"/>
    <w:link w:val="lfej"/>
    <w:uiPriority w:val="99"/>
    <w:semiHidden/>
    <w:rsid w:val="007D15E2"/>
    <w:rPr>
      <w:rFonts w:ascii="Arial" w:eastAsia="Times New Roman" w:hAnsi="Arial" w:cs="Arial"/>
      <w:sz w:val="24"/>
      <w:szCs w:val="24"/>
    </w:rPr>
  </w:style>
  <w:style w:type="paragraph" w:styleId="llb">
    <w:name w:val="footer"/>
    <w:basedOn w:val="Norml"/>
    <w:link w:val="llbChar"/>
    <w:uiPriority w:val="99"/>
    <w:unhideWhenUsed/>
    <w:rsid w:val="007D15E2"/>
    <w:pPr>
      <w:tabs>
        <w:tab w:val="center" w:pos="4536"/>
        <w:tab w:val="right" w:pos="9072"/>
      </w:tabs>
    </w:pPr>
  </w:style>
  <w:style w:type="character" w:customStyle="1" w:styleId="llbChar">
    <w:name w:val="Élőláb Char"/>
    <w:basedOn w:val="Bekezdsalapbettpusa"/>
    <w:link w:val="llb"/>
    <w:uiPriority w:val="99"/>
    <w:rsid w:val="007D15E2"/>
    <w:rPr>
      <w:rFonts w:ascii="Arial" w:eastAsia="Times New Roman" w:hAnsi="Arial" w:cs="Arial"/>
      <w:sz w:val="24"/>
      <w:szCs w:val="24"/>
    </w:rPr>
  </w:style>
  <w:style w:type="character" w:customStyle="1" w:styleId="apple-style-span">
    <w:name w:val="apple-style-span"/>
    <w:basedOn w:val="Bekezdsalapbettpusa"/>
    <w:rsid w:val="00534C70"/>
  </w:style>
  <w:style w:type="character" w:styleId="Kiemels">
    <w:name w:val="Emphasis"/>
    <w:basedOn w:val="Bekezdsalapbettpusa"/>
    <w:uiPriority w:val="20"/>
    <w:qFormat/>
    <w:rsid w:val="00534C70"/>
    <w:rPr>
      <w:i/>
      <w:iCs/>
    </w:rPr>
  </w:style>
  <w:style w:type="paragraph" w:customStyle="1" w:styleId="c30dispositifalinea">
    <w:name w:val="c30dispositifalinea"/>
    <w:basedOn w:val="Norml"/>
    <w:rsid w:val="00F25E2F"/>
    <w:pPr>
      <w:widowControl/>
      <w:autoSpaceDE/>
      <w:autoSpaceDN/>
      <w:adjustRightInd/>
      <w:spacing w:before="100" w:beforeAutospacing="1" w:after="100" w:afterAutospacing="1"/>
    </w:pPr>
    <w:rPr>
      <w:rFonts w:ascii="Times New Roman" w:hAnsi="Times New Roman" w:cs="Times New Roman"/>
      <w:lang w:eastAsia="hu-HU"/>
    </w:rPr>
  </w:style>
  <w:style w:type="paragraph" w:customStyle="1" w:styleId="c31dispositiftiretlong">
    <w:name w:val="c31dispositiftiretlong"/>
    <w:basedOn w:val="Norml"/>
    <w:rsid w:val="00F25E2F"/>
    <w:pPr>
      <w:widowControl/>
      <w:autoSpaceDE/>
      <w:autoSpaceDN/>
      <w:adjustRightInd/>
      <w:spacing w:before="100" w:beforeAutospacing="1" w:after="100" w:afterAutospacing="1"/>
    </w:pPr>
    <w:rPr>
      <w:rFonts w:ascii="Times New Roman" w:hAnsi="Times New Roman" w:cs="Times New Roman"/>
      <w:lang w:eastAsia="hu-HU"/>
    </w:rPr>
  </w:style>
  <w:style w:type="paragraph" w:customStyle="1" w:styleId="c02alineaalta">
    <w:name w:val="c02alineaalta"/>
    <w:basedOn w:val="Norml"/>
    <w:rsid w:val="00F25E2F"/>
    <w:pPr>
      <w:widowControl/>
      <w:autoSpaceDE/>
      <w:autoSpaceDN/>
      <w:adjustRightInd/>
      <w:spacing w:before="100" w:beforeAutospacing="1" w:after="100" w:afterAutospacing="1"/>
    </w:pPr>
    <w:rPr>
      <w:rFonts w:ascii="Times New Roman" w:hAnsi="Times New Roman" w:cs="Times New Roman"/>
      <w:lang w:eastAsia="hu-HU"/>
    </w:rPr>
  </w:style>
  <w:style w:type="character" w:customStyle="1" w:styleId="Cmsor1Char">
    <w:name w:val="Címsor 1 Char"/>
    <w:basedOn w:val="Bekezdsalapbettpusa"/>
    <w:link w:val="Cmsor1"/>
    <w:uiPriority w:val="9"/>
    <w:rsid w:val="007C3CE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7C3CEF"/>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5849D0"/>
    <w:pPr>
      <w:widowControl/>
      <w:autoSpaceDE/>
      <w:autoSpaceDN/>
      <w:adjustRightInd/>
      <w:spacing w:line="276" w:lineRule="auto"/>
      <w:outlineLvl w:val="9"/>
    </w:pPr>
  </w:style>
  <w:style w:type="paragraph" w:styleId="TJ1">
    <w:name w:val="toc 1"/>
    <w:basedOn w:val="Norml"/>
    <w:next w:val="Norml"/>
    <w:autoRedefine/>
    <w:uiPriority w:val="39"/>
    <w:unhideWhenUsed/>
    <w:rsid w:val="005849D0"/>
    <w:pPr>
      <w:spacing w:after="100"/>
    </w:pPr>
  </w:style>
  <w:style w:type="paragraph" w:styleId="TJ2">
    <w:name w:val="toc 2"/>
    <w:basedOn w:val="Norml"/>
    <w:next w:val="Norml"/>
    <w:autoRedefine/>
    <w:uiPriority w:val="39"/>
    <w:unhideWhenUsed/>
    <w:rsid w:val="005849D0"/>
    <w:pPr>
      <w:spacing w:after="100"/>
      <w:ind w:left="240"/>
    </w:pPr>
  </w:style>
</w:styles>
</file>

<file path=word/webSettings.xml><?xml version="1.0" encoding="utf-8"?>
<w:webSettings xmlns:r="http://schemas.openxmlformats.org/officeDocument/2006/relationships" xmlns:w="http://schemas.openxmlformats.org/wordprocessingml/2006/main">
  <w:divs>
    <w:div w:id="105316880">
      <w:bodyDiv w:val="1"/>
      <w:marLeft w:val="0"/>
      <w:marRight w:val="0"/>
      <w:marTop w:val="0"/>
      <w:marBottom w:val="0"/>
      <w:divBdr>
        <w:top w:val="none" w:sz="0" w:space="0" w:color="auto"/>
        <w:left w:val="none" w:sz="0" w:space="0" w:color="auto"/>
        <w:bottom w:val="none" w:sz="0" w:space="0" w:color="auto"/>
        <w:right w:val="none" w:sz="0" w:space="0" w:color="auto"/>
      </w:divBdr>
    </w:div>
    <w:div w:id="114256893">
      <w:bodyDiv w:val="1"/>
      <w:marLeft w:val="0"/>
      <w:marRight w:val="0"/>
      <w:marTop w:val="0"/>
      <w:marBottom w:val="0"/>
      <w:divBdr>
        <w:top w:val="none" w:sz="0" w:space="0" w:color="auto"/>
        <w:left w:val="none" w:sz="0" w:space="0" w:color="auto"/>
        <w:bottom w:val="none" w:sz="0" w:space="0" w:color="auto"/>
        <w:right w:val="none" w:sz="0" w:space="0" w:color="auto"/>
      </w:divBdr>
    </w:div>
    <w:div w:id="17138403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02">
          <w:marLeft w:val="0"/>
          <w:marRight w:val="0"/>
          <w:marTop w:val="0"/>
          <w:marBottom w:val="0"/>
          <w:divBdr>
            <w:top w:val="none" w:sz="0" w:space="0" w:color="auto"/>
            <w:left w:val="none" w:sz="0" w:space="0" w:color="auto"/>
            <w:bottom w:val="none" w:sz="0" w:space="0" w:color="auto"/>
            <w:right w:val="none" w:sz="0" w:space="0" w:color="auto"/>
          </w:divBdr>
        </w:div>
        <w:div w:id="1701396354">
          <w:marLeft w:val="0"/>
          <w:marRight w:val="0"/>
          <w:marTop w:val="0"/>
          <w:marBottom w:val="0"/>
          <w:divBdr>
            <w:top w:val="none" w:sz="0" w:space="0" w:color="auto"/>
            <w:left w:val="none" w:sz="0" w:space="0" w:color="auto"/>
            <w:bottom w:val="none" w:sz="0" w:space="0" w:color="auto"/>
            <w:right w:val="none" w:sz="0" w:space="0" w:color="auto"/>
          </w:divBdr>
        </w:div>
      </w:divsChild>
    </w:div>
    <w:div w:id="177357658">
      <w:bodyDiv w:val="1"/>
      <w:marLeft w:val="0"/>
      <w:marRight w:val="0"/>
      <w:marTop w:val="0"/>
      <w:marBottom w:val="0"/>
      <w:divBdr>
        <w:top w:val="none" w:sz="0" w:space="0" w:color="auto"/>
        <w:left w:val="none" w:sz="0" w:space="0" w:color="auto"/>
        <w:bottom w:val="none" w:sz="0" w:space="0" w:color="auto"/>
        <w:right w:val="none" w:sz="0" w:space="0" w:color="auto"/>
      </w:divBdr>
    </w:div>
    <w:div w:id="199126920">
      <w:bodyDiv w:val="1"/>
      <w:marLeft w:val="0"/>
      <w:marRight w:val="0"/>
      <w:marTop w:val="0"/>
      <w:marBottom w:val="0"/>
      <w:divBdr>
        <w:top w:val="none" w:sz="0" w:space="0" w:color="auto"/>
        <w:left w:val="none" w:sz="0" w:space="0" w:color="auto"/>
        <w:bottom w:val="none" w:sz="0" w:space="0" w:color="auto"/>
        <w:right w:val="none" w:sz="0" w:space="0" w:color="auto"/>
      </w:divBdr>
    </w:div>
    <w:div w:id="477462033">
      <w:bodyDiv w:val="1"/>
      <w:marLeft w:val="0"/>
      <w:marRight w:val="0"/>
      <w:marTop w:val="0"/>
      <w:marBottom w:val="0"/>
      <w:divBdr>
        <w:top w:val="none" w:sz="0" w:space="0" w:color="auto"/>
        <w:left w:val="none" w:sz="0" w:space="0" w:color="auto"/>
        <w:bottom w:val="none" w:sz="0" w:space="0" w:color="auto"/>
        <w:right w:val="none" w:sz="0" w:space="0" w:color="auto"/>
      </w:divBdr>
    </w:div>
    <w:div w:id="495190199">
      <w:bodyDiv w:val="1"/>
      <w:marLeft w:val="0"/>
      <w:marRight w:val="0"/>
      <w:marTop w:val="0"/>
      <w:marBottom w:val="0"/>
      <w:divBdr>
        <w:top w:val="none" w:sz="0" w:space="0" w:color="auto"/>
        <w:left w:val="none" w:sz="0" w:space="0" w:color="auto"/>
        <w:bottom w:val="none" w:sz="0" w:space="0" w:color="auto"/>
        <w:right w:val="none" w:sz="0" w:space="0" w:color="auto"/>
      </w:divBdr>
    </w:div>
    <w:div w:id="594441297">
      <w:bodyDiv w:val="1"/>
      <w:marLeft w:val="0"/>
      <w:marRight w:val="0"/>
      <w:marTop w:val="0"/>
      <w:marBottom w:val="0"/>
      <w:divBdr>
        <w:top w:val="none" w:sz="0" w:space="0" w:color="auto"/>
        <w:left w:val="none" w:sz="0" w:space="0" w:color="auto"/>
        <w:bottom w:val="none" w:sz="0" w:space="0" w:color="auto"/>
        <w:right w:val="none" w:sz="0" w:space="0" w:color="auto"/>
      </w:divBdr>
    </w:div>
    <w:div w:id="620305081">
      <w:bodyDiv w:val="1"/>
      <w:marLeft w:val="0"/>
      <w:marRight w:val="0"/>
      <w:marTop w:val="0"/>
      <w:marBottom w:val="0"/>
      <w:divBdr>
        <w:top w:val="none" w:sz="0" w:space="0" w:color="auto"/>
        <w:left w:val="none" w:sz="0" w:space="0" w:color="auto"/>
        <w:bottom w:val="none" w:sz="0" w:space="0" w:color="auto"/>
        <w:right w:val="none" w:sz="0" w:space="0" w:color="auto"/>
      </w:divBdr>
    </w:div>
    <w:div w:id="626936564">
      <w:bodyDiv w:val="1"/>
      <w:marLeft w:val="0"/>
      <w:marRight w:val="0"/>
      <w:marTop w:val="0"/>
      <w:marBottom w:val="0"/>
      <w:divBdr>
        <w:top w:val="none" w:sz="0" w:space="0" w:color="auto"/>
        <w:left w:val="none" w:sz="0" w:space="0" w:color="auto"/>
        <w:bottom w:val="none" w:sz="0" w:space="0" w:color="auto"/>
        <w:right w:val="none" w:sz="0" w:space="0" w:color="auto"/>
      </w:divBdr>
    </w:div>
    <w:div w:id="679281669">
      <w:bodyDiv w:val="1"/>
      <w:marLeft w:val="0"/>
      <w:marRight w:val="0"/>
      <w:marTop w:val="0"/>
      <w:marBottom w:val="0"/>
      <w:divBdr>
        <w:top w:val="none" w:sz="0" w:space="0" w:color="auto"/>
        <w:left w:val="none" w:sz="0" w:space="0" w:color="auto"/>
        <w:bottom w:val="none" w:sz="0" w:space="0" w:color="auto"/>
        <w:right w:val="none" w:sz="0" w:space="0" w:color="auto"/>
      </w:divBdr>
    </w:div>
    <w:div w:id="759136197">
      <w:bodyDiv w:val="1"/>
      <w:marLeft w:val="0"/>
      <w:marRight w:val="0"/>
      <w:marTop w:val="0"/>
      <w:marBottom w:val="0"/>
      <w:divBdr>
        <w:top w:val="none" w:sz="0" w:space="0" w:color="auto"/>
        <w:left w:val="none" w:sz="0" w:space="0" w:color="auto"/>
        <w:bottom w:val="none" w:sz="0" w:space="0" w:color="auto"/>
        <w:right w:val="none" w:sz="0" w:space="0" w:color="auto"/>
      </w:divBdr>
    </w:div>
    <w:div w:id="763844198">
      <w:bodyDiv w:val="1"/>
      <w:marLeft w:val="0"/>
      <w:marRight w:val="0"/>
      <w:marTop w:val="0"/>
      <w:marBottom w:val="0"/>
      <w:divBdr>
        <w:top w:val="none" w:sz="0" w:space="0" w:color="auto"/>
        <w:left w:val="none" w:sz="0" w:space="0" w:color="auto"/>
        <w:bottom w:val="none" w:sz="0" w:space="0" w:color="auto"/>
        <w:right w:val="none" w:sz="0" w:space="0" w:color="auto"/>
      </w:divBdr>
    </w:div>
    <w:div w:id="766581179">
      <w:bodyDiv w:val="1"/>
      <w:marLeft w:val="0"/>
      <w:marRight w:val="0"/>
      <w:marTop w:val="0"/>
      <w:marBottom w:val="0"/>
      <w:divBdr>
        <w:top w:val="none" w:sz="0" w:space="0" w:color="auto"/>
        <w:left w:val="none" w:sz="0" w:space="0" w:color="auto"/>
        <w:bottom w:val="none" w:sz="0" w:space="0" w:color="auto"/>
        <w:right w:val="none" w:sz="0" w:space="0" w:color="auto"/>
      </w:divBdr>
    </w:div>
    <w:div w:id="804543655">
      <w:bodyDiv w:val="1"/>
      <w:marLeft w:val="0"/>
      <w:marRight w:val="0"/>
      <w:marTop w:val="0"/>
      <w:marBottom w:val="0"/>
      <w:divBdr>
        <w:top w:val="none" w:sz="0" w:space="0" w:color="auto"/>
        <w:left w:val="none" w:sz="0" w:space="0" w:color="auto"/>
        <w:bottom w:val="none" w:sz="0" w:space="0" w:color="auto"/>
        <w:right w:val="none" w:sz="0" w:space="0" w:color="auto"/>
      </w:divBdr>
    </w:div>
    <w:div w:id="868032020">
      <w:bodyDiv w:val="1"/>
      <w:marLeft w:val="0"/>
      <w:marRight w:val="0"/>
      <w:marTop w:val="0"/>
      <w:marBottom w:val="0"/>
      <w:divBdr>
        <w:top w:val="none" w:sz="0" w:space="0" w:color="auto"/>
        <w:left w:val="none" w:sz="0" w:space="0" w:color="auto"/>
        <w:bottom w:val="none" w:sz="0" w:space="0" w:color="auto"/>
        <w:right w:val="none" w:sz="0" w:space="0" w:color="auto"/>
      </w:divBdr>
    </w:div>
    <w:div w:id="1041252139">
      <w:bodyDiv w:val="1"/>
      <w:marLeft w:val="0"/>
      <w:marRight w:val="0"/>
      <w:marTop w:val="0"/>
      <w:marBottom w:val="0"/>
      <w:divBdr>
        <w:top w:val="none" w:sz="0" w:space="0" w:color="auto"/>
        <w:left w:val="none" w:sz="0" w:space="0" w:color="auto"/>
        <w:bottom w:val="none" w:sz="0" w:space="0" w:color="auto"/>
        <w:right w:val="none" w:sz="0" w:space="0" w:color="auto"/>
      </w:divBdr>
    </w:div>
    <w:div w:id="1073358585">
      <w:bodyDiv w:val="1"/>
      <w:marLeft w:val="0"/>
      <w:marRight w:val="0"/>
      <w:marTop w:val="0"/>
      <w:marBottom w:val="0"/>
      <w:divBdr>
        <w:top w:val="none" w:sz="0" w:space="0" w:color="auto"/>
        <w:left w:val="none" w:sz="0" w:space="0" w:color="auto"/>
        <w:bottom w:val="none" w:sz="0" w:space="0" w:color="auto"/>
        <w:right w:val="none" w:sz="0" w:space="0" w:color="auto"/>
      </w:divBdr>
    </w:div>
    <w:div w:id="1081680267">
      <w:bodyDiv w:val="1"/>
      <w:marLeft w:val="0"/>
      <w:marRight w:val="0"/>
      <w:marTop w:val="0"/>
      <w:marBottom w:val="0"/>
      <w:divBdr>
        <w:top w:val="none" w:sz="0" w:space="0" w:color="auto"/>
        <w:left w:val="none" w:sz="0" w:space="0" w:color="auto"/>
        <w:bottom w:val="none" w:sz="0" w:space="0" w:color="auto"/>
        <w:right w:val="none" w:sz="0" w:space="0" w:color="auto"/>
      </w:divBdr>
    </w:div>
    <w:div w:id="1114639031">
      <w:bodyDiv w:val="1"/>
      <w:marLeft w:val="0"/>
      <w:marRight w:val="0"/>
      <w:marTop w:val="0"/>
      <w:marBottom w:val="0"/>
      <w:divBdr>
        <w:top w:val="none" w:sz="0" w:space="0" w:color="auto"/>
        <w:left w:val="none" w:sz="0" w:space="0" w:color="auto"/>
        <w:bottom w:val="none" w:sz="0" w:space="0" w:color="auto"/>
        <w:right w:val="none" w:sz="0" w:space="0" w:color="auto"/>
      </w:divBdr>
    </w:div>
    <w:div w:id="1133601447">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74221555">
      <w:bodyDiv w:val="1"/>
      <w:marLeft w:val="0"/>
      <w:marRight w:val="0"/>
      <w:marTop w:val="0"/>
      <w:marBottom w:val="0"/>
      <w:divBdr>
        <w:top w:val="none" w:sz="0" w:space="0" w:color="auto"/>
        <w:left w:val="none" w:sz="0" w:space="0" w:color="auto"/>
        <w:bottom w:val="none" w:sz="0" w:space="0" w:color="auto"/>
        <w:right w:val="none" w:sz="0" w:space="0" w:color="auto"/>
      </w:divBdr>
    </w:div>
    <w:div w:id="1412043497">
      <w:bodyDiv w:val="1"/>
      <w:marLeft w:val="0"/>
      <w:marRight w:val="0"/>
      <w:marTop w:val="0"/>
      <w:marBottom w:val="0"/>
      <w:divBdr>
        <w:top w:val="none" w:sz="0" w:space="0" w:color="auto"/>
        <w:left w:val="none" w:sz="0" w:space="0" w:color="auto"/>
        <w:bottom w:val="none" w:sz="0" w:space="0" w:color="auto"/>
        <w:right w:val="none" w:sz="0" w:space="0" w:color="auto"/>
      </w:divBdr>
    </w:div>
    <w:div w:id="1416782729">
      <w:bodyDiv w:val="1"/>
      <w:marLeft w:val="0"/>
      <w:marRight w:val="0"/>
      <w:marTop w:val="0"/>
      <w:marBottom w:val="0"/>
      <w:divBdr>
        <w:top w:val="none" w:sz="0" w:space="0" w:color="auto"/>
        <w:left w:val="none" w:sz="0" w:space="0" w:color="auto"/>
        <w:bottom w:val="none" w:sz="0" w:space="0" w:color="auto"/>
        <w:right w:val="none" w:sz="0" w:space="0" w:color="auto"/>
      </w:divBdr>
    </w:div>
    <w:div w:id="1547137587">
      <w:bodyDiv w:val="1"/>
      <w:marLeft w:val="0"/>
      <w:marRight w:val="0"/>
      <w:marTop w:val="0"/>
      <w:marBottom w:val="0"/>
      <w:divBdr>
        <w:top w:val="none" w:sz="0" w:space="0" w:color="auto"/>
        <w:left w:val="none" w:sz="0" w:space="0" w:color="auto"/>
        <w:bottom w:val="none" w:sz="0" w:space="0" w:color="auto"/>
        <w:right w:val="none" w:sz="0" w:space="0" w:color="auto"/>
      </w:divBdr>
    </w:div>
    <w:div w:id="1594588096">
      <w:bodyDiv w:val="1"/>
      <w:marLeft w:val="0"/>
      <w:marRight w:val="0"/>
      <w:marTop w:val="0"/>
      <w:marBottom w:val="0"/>
      <w:divBdr>
        <w:top w:val="none" w:sz="0" w:space="0" w:color="auto"/>
        <w:left w:val="none" w:sz="0" w:space="0" w:color="auto"/>
        <w:bottom w:val="none" w:sz="0" w:space="0" w:color="auto"/>
        <w:right w:val="none" w:sz="0" w:space="0" w:color="auto"/>
      </w:divBdr>
    </w:div>
    <w:div w:id="1597178555">
      <w:bodyDiv w:val="1"/>
      <w:marLeft w:val="0"/>
      <w:marRight w:val="0"/>
      <w:marTop w:val="0"/>
      <w:marBottom w:val="0"/>
      <w:divBdr>
        <w:top w:val="none" w:sz="0" w:space="0" w:color="auto"/>
        <w:left w:val="none" w:sz="0" w:space="0" w:color="auto"/>
        <w:bottom w:val="none" w:sz="0" w:space="0" w:color="auto"/>
        <w:right w:val="none" w:sz="0" w:space="0" w:color="auto"/>
      </w:divBdr>
    </w:div>
    <w:div w:id="1716854385">
      <w:bodyDiv w:val="1"/>
      <w:marLeft w:val="0"/>
      <w:marRight w:val="0"/>
      <w:marTop w:val="0"/>
      <w:marBottom w:val="0"/>
      <w:divBdr>
        <w:top w:val="none" w:sz="0" w:space="0" w:color="auto"/>
        <w:left w:val="none" w:sz="0" w:space="0" w:color="auto"/>
        <w:bottom w:val="none" w:sz="0" w:space="0" w:color="auto"/>
        <w:right w:val="none" w:sz="0" w:space="0" w:color="auto"/>
      </w:divBdr>
    </w:div>
    <w:div w:id="1850177646">
      <w:bodyDiv w:val="1"/>
      <w:marLeft w:val="0"/>
      <w:marRight w:val="0"/>
      <w:marTop w:val="0"/>
      <w:marBottom w:val="0"/>
      <w:divBdr>
        <w:top w:val="none" w:sz="0" w:space="0" w:color="auto"/>
        <w:left w:val="none" w:sz="0" w:space="0" w:color="auto"/>
        <w:bottom w:val="none" w:sz="0" w:space="0" w:color="auto"/>
        <w:right w:val="none" w:sz="0" w:space="0" w:color="auto"/>
      </w:divBdr>
    </w:div>
    <w:div w:id="1923568501">
      <w:bodyDiv w:val="1"/>
      <w:marLeft w:val="0"/>
      <w:marRight w:val="0"/>
      <w:marTop w:val="0"/>
      <w:marBottom w:val="0"/>
      <w:divBdr>
        <w:top w:val="none" w:sz="0" w:space="0" w:color="auto"/>
        <w:left w:val="none" w:sz="0" w:space="0" w:color="auto"/>
        <w:bottom w:val="none" w:sz="0" w:space="0" w:color="auto"/>
        <w:right w:val="none" w:sz="0" w:space="0" w:color="auto"/>
      </w:divBdr>
    </w:div>
    <w:div w:id="1924996298">
      <w:bodyDiv w:val="1"/>
      <w:marLeft w:val="0"/>
      <w:marRight w:val="0"/>
      <w:marTop w:val="0"/>
      <w:marBottom w:val="0"/>
      <w:divBdr>
        <w:top w:val="none" w:sz="0" w:space="0" w:color="auto"/>
        <w:left w:val="none" w:sz="0" w:space="0" w:color="auto"/>
        <w:bottom w:val="none" w:sz="0" w:space="0" w:color="auto"/>
        <w:right w:val="none" w:sz="0" w:space="0" w:color="auto"/>
      </w:divBdr>
    </w:div>
    <w:div w:id="1954362083">
      <w:bodyDiv w:val="1"/>
      <w:marLeft w:val="0"/>
      <w:marRight w:val="0"/>
      <w:marTop w:val="0"/>
      <w:marBottom w:val="0"/>
      <w:divBdr>
        <w:top w:val="none" w:sz="0" w:space="0" w:color="auto"/>
        <w:left w:val="none" w:sz="0" w:space="0" w:color="auto"/>
        <w:bottom w:val="none" w:sz="0" w:space="0" w:color="auto"/>
        <w:right w:val="none" w:sz="0" w:space="0" w:color="auto"/>
      </w:divBdr>
    </w:div>
    <w:div w:id="2013684337">
      <w:bodyDiv w:val="1"/>
      <w:marLeft w:val="0"/>
      <w:marRight w:val="0"/>
      <w:marTop w:val="0"/>
      <w:marBottom w:val="0"/>
      <w:divBdr>
        <w:top w:val="none" w:sz="0" w:space="0" w:color="auto"/>
        <w:left w:val="none" w:sz="0" w:space="0" w:color="auto"/>
        <w:bottom w:val="none" w:sz="0" w:space="0" w:color="auto"/>
        <w:right w:val="none" w:sz="0" w:space="0" w:color="auto"/>
      </w:divBdr>
    </w:div>
    <w:div w:id="2029284396">
      <w:bodyDiv w:val="1"/>
      <w:marLeft w:val="0"/>
      <w:marRight w:val="0"/>
      <w:marTop w:val="0"/>
      <w:marBottom w:val="0"/>
      <w:divBdr>
        <w:top w:val="none" w:sz="0" w:space="0" w:color="auto"/>
        <w:left w:val="none" w:sz="0" w:space="0" w:color="auto"/>
        <w:bottom w:val="none" w:sz="0" w:space="0" w:color="auto"/>
        <w:right w:val="none" w:sz="0" w:space="0" w:color="auto"/>
      </w:divBdr>
    </w:div>
    <w:div w:id="2032950443">
      <w:bodyDiv w:val="1"/>
      <w:marLeft w:val="0"/>
      <w:marRight w:val="0"/>
      <w:marTop w:val="0"/>
      <w:marBottom w:val="0"/>
      <w:divBdr>
        <w:top w:val="none" w:sz="0" w:space="0" w:color="auto"/>
        <w:left w:val="none" w:sz="0" w:space="0" w:color="auto"/>
        <w:bottom w:val="none" w:sz="0" w:space="0" w:color="auto"/>
        <w:right w:val="none" w:sz="0" w:space="0" w:color="auto"/>
      </w:divBdr>
    </w:div>
    <w:div w:id="20703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EDA00-1D42-41D7-B520-E12FF038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14</Pages>
  <Words>3512</Words>
  <Characters>24235</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Joó Imre</dc:creator>
  <cp:lastModifiedBy>Joó Imre</cp:lastModifiedBy>
  <cp:revision>163</cp:revision>
  <cp:lastPrinted>2015-04-22T19:09:00Z</cp:lastPrinted>
  <dcterms:created xsi:type="dcterms:W3CDTF">2015-04-19T06:22:00Z</dcterms:created>
  <dcterms:modified xsi:type="dcterms:W3CDTF">2015-04-22T20:34:00Z</dcterms:modified>
</cp:coreProperties>
</file>